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5588" w:rsidRDefault="009E5588" w:rsidP="007757B4">
      <w:pPr>
        <w:ind w:left="-284"/>
        <w:jc w:val="both"/>
        <w:rPr>
          <w:rFonts w:ascii="Arial" w:hAnsi="Arial" w:cs="Arial"/>
        </w:rPr>
      </w:pPr>
    </w:p>
    <w:p w:rsidR="007757B4" w:rsidRPr="00C85F4A" w:rsidRDefault="007757B4" w:rsidP="007757B4">
      <w:pPr>
        <w:ind w:left="-284"/>
        <w:jc w:val="both"/>
        <w:rPr>
          <w:rFonts w:ascii="Arial" w:hAnsi="Arial" w:cs="Arial"/>
        </w:rPr>
      </w:pPr>
      <w:r w:rsidRPr="00C85F4A">
        <w:rPr>
          <w:rFonts w:ascii="Arial" w:hAnsi="Arial" w:cs="Arial"/>
        </w:rPr>
        <w:t>Oficio No. CLC</w:t>
      </w:r>
      <w:r w:rsidR="005F442A">
        <w:rPr>
          <w:rFonts w:ascii="Arial" w:hAnsi="Arial" w:cs="Arial"/>
        </w:rPr>
        <w:t>-</w:t>
      </w:r>
      <w:r w:rsidR="009E5588">
        <w:rPr>
          <w:rFonts w:ascii="Arial" w:hAnsi="Arial" w:cs="Arial"/>
        </w:rPr>
        <w:t>874</w:t>
      </w:r>
      <w:r w:rsidRPr="00C85F4A">
        <w:rPr>
          <w:rFonts w:ascii="Arial" w:hAnsi="Arial" w:cs="Arial"/>
        </w:rPr>
        <w:t>–2</w:t>
      </w:r>
      <w:r>
        <w:rPr>
          <w:rFonts w:ascii="Arial" w:hAnsi="Arial" w:cs="Arial"/>
        </w:rPr>
        <w:t>3</w:t>
      </w:r>
    </w:p>
    <w:p w:rsidR="007757B4" w:rsidRDefault="007757B4" w:rsidP="007757B4">
      <w:pPr>
        <w:ind w:left="-284"/>
        <w:jc w:val="both"/>
        <w:rPr>
          <w:rFonts w:ascii="Arial" w:hAnsi="Arial" w:cs="Arial"/>
        </w:rPr>
      </w:pPr>
      <w:r w:rsidRPr="00C85F4A">
        <w:rPr>
          <w:rFonts w:ascii="Arial" w:hAnsi="Arial" w:cs="Arial"/>
        </w:rPr>
        <w:t xml:space="preserve">Bogotá D.C. </w:t>
      </w:r>
      <w:r w:rsidR="007B46EF">
        <w:rPr>
          <w:rFonts w:ascii="Arial" w:hAnsi="Arial" w:cs="Arial"/>
        </w:rPr>
        <w:t>6</w:t>
      </w:r>
      <w:r w:rsidRPr="00C85F4A">
        <w:rPr>
          <w:rFonts w:ascii="Arial" w:hAnsi="Arial" w:cs="Arial"/>
        </w:rPr>
        <w:t xml:space="preserve"> de </w:t>
      </w:r>
      <w:r>
        <w:rPr>
          <w:rFonts w:ascii="Arial" w:hAnsi="Arial" w:cs="Arial"/>
        </w:rPr>
        <w:t>septiembre</w:t>
      </w:r>
      <w:r w:rsidRPr="00C85F4A">
        <w:rPr>
          <w:rFonts w:ascii="Arial" w:hAnsi="Arial" w:cs="Arial"/>
        </w:rPr>
        <w:t xml:space="preserve"> de 202</w:t>
      </w:r>
      <w:r>
        <w:rPr>
          <w:rFonts w:ascii="Arial" w:hAnsi="Arial" w:cs="Arial"/>
        </w:rPr>
        <w:t>3</w:t>
      </w:r>
    </w:p>
    <w:p w:rsidR="009E5588" w:rsidRDefault="009E5588" w:rsidP="009E5588">
      <w:pPr>
        <w:ind w:left="-284"/>
        <w:jc w:val="both"/>
        <w:rPr>
          <w:rFonts w:ascii="Arial" w:hAnsi="Arial" w:cs="Arial"/>
        </w:rPr>
      </w:pPr>
    </w:p>
    <w:p w:rsidR="009E5588" w:rsidRDefault="009E5588" w:rsidP="009E5588">
      <w:pPr>
        <w:ind w:left="-284"/>
        <w:jc w:val="both"/>
        <w:rPr>
          <w:rFonts w:ascii="Arial" w:hAnsi="Arial" w:cs="Arial"/>
        </w:rPr>
      </w:pPr>
    </w:p>
    <w:p w:rsidR="009E5588" w:rsidRPr="00C85F4A" w:rsidRDefault="009E5588" w:rsidP="009E5588">
      <w:pPr>
        <w:ind w:left="-284"/>
        <w:jc w:val="both"/>
        <w:rPr>
          <w:rFonts w:ascii="Arial" w:hAnsi="Arial" w:cs="Arial"/>
        </w:rPr>
      </w:pPr>
    </w:p>
    <w:p w:rsidR="009E5588" w:rsidRPr="00C85F4A" w:rsidRDefault="009E5588" w:rsidP="009E5588">
      <w:pPr>
        <w:ind w:left="-284"/>
        <w:jc w:val="both"/>
        <w:rPr>
          <w:rFonts w:ascii="Arial" w:hAnsi="Arial" w:cs="Arial"/>
        </w:rPr>
      </w:pPr>
      <w:r w:rsidRPr="00C85F4A">
        <w:rPr>
          <w:rFonts w:ascii="Arial" w:hAnsi="Arial" w:cs="Arial"/>
        </w:rPr>
        <w:t>Doctor</w:t>
      </w:r>
      <w:r w:rsidR="00C11C14">
        <w:rPr>
          <w:rFonts w:ascii="Arial" w:hAnsi="Arial" w:cs="Arial"/>
        </w:rPr>
        <w:t>:</w:t>
      </w:r>
    </w:p>
    <w:p w:rsidR="00204C42" w:rsidRDefault="007F217E" w:rsidP="00204C42">
      <w:pPr>
        <w:ind w:left="-284"/>
        <w:jc w:val="both"/>
        <w:rPr>
          <w:rFonts w:ascii="Arial" w:hAnsi="Arial" w:cs="Arial"/>
          <w:b/>
        </w:rPr>
      </w:pPr>
      <w:r>
        <w:rPr>
          <w:rFonts w:ascii="Arial" w:hAnsi="Arial" w:cs="Arial"/>
          <w:b/>
        </w:rPr>
        <w:t>JOSÉ DANIEL ROJAS MEDELLÍN</w:t>
      </w:r>
    </w:p>
    <w:p w:rsidR="00204C42" w:rsidRPr="00942686" w:rsidRDefault="00204C42" w:rsidP="00204C42">
      <w:pPr>
        <w:ind w:left="-284"/>
        <w:jc w:val="both"/>
        <w:rPr>
          <w:rFonts w:ascii="Arial" w:hAnsi="Arial" w:cs="Arial"/>
        </w:rPr>
      </w:pPr>
      <w:r>
        <w:rPr>
          <w:rFonts w:ascii="Arial" w:hAnsi="Arial" w:cs="Arial"/>
        </w:rPr>
        <w:t>Director</w:t>
      </w:r>
    </w:p>
    <w:p w:rsidR="007B46EF" w:rsidRDefault="009E5588" w:rsidP="009E5588">
      <w:pPr>
        <w:ind w:left="-284" w:right="-234"/>
        <w:jc w:val="both"/>
        <w:rPr>
          <w:rFonts w:ascii="Arial" w:hAnsi="Arial" w:cs="Arial"/>
          <w:b/>
        </w:rPr>
      </w:pPr>
      <w:r w:rsidRPr="009721C8">
        <w:rPr>
          <w:rFonts w:ascii="Arial" w:hAnsi="Arial" w:cs="Arial"/>
          <w:b/>
        </w:rPr>
        <w:t xml:space="preserve">FONDO PARA LA REHABILITACIÓN, INVERSIÓN SOCIAL Y </w:t>
      </w:r>
    </w:p>
    <w:p w:rsidR="009E5588" w:rsidRDefault="009E5588" w:rsidP="009E5588">
      <w:pPr>
        <w:ind w:left="-284" w:right="-234"/>
        <w:jc w:val="both"/>
        <w:rPr>
          <w:rFonts w:ascii="Arial" w:hAnsi="Arial" w:cs="Arial"/>
          <w:b/>
          <w:bCs/>
        </w:rPr>
      </w:pPr>
      <w:r w:rsidRPr="009721C8">
        <w:rPr>
          <w:rFonts w:ascii="Arial" w:hAnsi="Arial" w:cs="Arial"/>
          <w:b/>
        </w:rPr>
        <w:t>LUCHA CONTRA EL CRIMEN ORGAN</w:t>
      </w:r>
      <w:r w:rsidR="007B46EF">
        <w:rPr>
          <w:rFonts w:ascii="Arial" w:hAnsi="Arial" w:cs="Arial"/>
          <w:b/>
        </w:rPr>
        <w:t>I</w:t>
      </w:r>
      <w:r w:rsidRPr="009721C8">
        <w:rPr>
          <w:rFonts w:ascii="Arial" w:hAnsi="Arial" w:cs="Arial"/>
          <w:b/>
        </w:rPr>
        <w:t>ZADO - FRISCO</w:t>
      </w:r>
      <w:r>
        <w:rPr>
          <w:rFonts w:ascii="Arial" w:hAnsi="Arial" w:cs="Arial"/>
          <w:b/>
          <w:bCs/>
        </w:rPr>
        <w:t xml:space="preserve"> </w:t>
      </w:r>
    </w:p>
    <w:p w:rsidR="00D10DED" w:rsidRDefault="00D10DED" w:rsidP="00D10DED">
      <w:pPr>
        <w:ind w:left="-284"/>
        <w:jc w:val="both"/>
        <w:rPr>
          <w:rFonts w:ascii="Arial" w:hAnsi="Arial" w:cs="Arial"/>
          <w:bCs/>
        </w:rPr>
      </w:pPr>
      <w:r>
        <w:rPr>
          <w:rFonts w:ascii="Arial" w:hAnsi="Arial" w:cs="Arial"/>
          <w:bCs/>
        </w:rPr>
        <w:t>Carrera 7 No. 32 – 16 Local 107</w:t>
      </w:r>
    </w:p>
    <w:p w:rsidR="00D10DED" w:rsidRDefault="00D10DED" w:rsidP="00D10DED">
      <w:pPr>
        <w:ind w:left="-284"/>
        <w:jc w:val="both"/>
        <w:rPr>
          <w:rFonts w:ascii="Arial" w:hAnsi="Arial" w:cs="Arial"/>
          <w:bCs/>
        </w:rPr>
      </w:pPr>
      <w:r>
        <w:rPr>
          <w:rFonts w:ascii="Arial" w:hAnsi="Arial" w:cs="Arial"/>
          <w:bCs/>
        </w:rPr>
        <w:t>Centro Comercial San Martín</w:t>
      </w:r>
    </w:p>
    <w:p w:rsidR="00D10DED" w:rsidRDefault="00D10DED" w:rsidP="00D10DED">
      <w:pPr>
        <w:ind w:left="-284"/>
        <w:jc w:val="both"/>
        <w:rPr>
          <w:rFonts w:ascii="Arial" w:hAnsi="Arial" w:cs="Arial"/>
          <w:bCs/>
        </w:rPr>
      </w:pPr>
      <w:r>
        <w:rPr>
          <w:rFonts w:ascii="Arial" w:hAnsi="Arial" w:cs="Arial"/>
          <w:bCs/>
        </w:rPr>
        <w:t>Bogotá D.C.</w:t>
      </w:r>
    </w:p>
    <w:p w:rsidR="00D10DED" w:rsidRPr="00E20469" w:rsidRDefault="00D10DED" w:rsidP="009E5588">
      <w:pPr>
        <w:ind w:left="-284" w:right="-234"/>
        <w:jc w:val="both"/>
        <w:rPr>
          <w:rFonts w:ascii="Arial" w:hAnsi="Arial" w:cs="Arial"/>
          <w:b/>
          <w:bCs/>
        </w:rPr>
      </w:pPr>
    </w:p>
    <w:p w:rsidR="009E5588" w:rsidRDefault="009E5588" w:rsidP="009E5588">
      <w:pPr>
        <w:ind w:left="-284"/>
        <w:jc w:val="both"/>
        <w:rPr>
          <w:rFonts w:ascii="Arial" w:hAnsi="Arial" w:cs="Arial"/>
          <w:bCs/>
        </w:rPr>
      </w:pPr>
    </w:p>
    <w:p w:rsidR="009E5588" w:rsidRDefault="009E5588" w:rsidP="009E5588">
      <w:pPr>
        <w:ind w:left="-284" w:right="-234"/>
        <w:jc w:val="both"/>
        <w:rPr>
          <w:rFonts w:ascii="Arial" w:hAnsi="Arial" w:cs="Arial"/>
        </w:rPr>
      </w:pPr>
      <w:r w:rsidRPr="00C85F4A">
        <w:rPr>
          <w:rFonts w:ascii="Arial" w:hAnsi="Arial" w:cs="Arial"/>
          <w:b/>
        </w:rPr>
        <w:t>R</w:t>
      </w:r>
      <w:r w:rsidR="00204C42">
        <w:rPr>
          <w:rFonts w:ascii="Arial" w:hAnsi="Arial" w:cs="Arial"/>
          <w:b/>
        </w:rPr>
        <w:t>eferencia</w:t>
      </w:r>
      <w:r w:rsidRPr="00C85F4A">
        <w:rPr>
          <w:rFonts w:ascii="Arial" w:hAnsi="Arial" w:cs="Arial"/>
          <w:b/>
        </w:rPr>
        <w:t>:</w:t>
      </w:r>
      <w:r w:rsidRPr="00C85F4A">
        <w:rPr>
          <w:rFonts w:ascii="Arial" w:hAnsi="Arial" w:cs="Arial"/>
        </w:rPr>
        <w:t xml:space="preserve"> Solicitud de explicación a las glosas formuladas por la Contraloría General de la República y a las observaciones establecidas por la Comisión Legal de Cuentas de la Cámara de Representantes para la vigencia fiscal 202</w:t>
      </w:r>
      <w:r>
        <w:rPr>
          <w:rFonts w:ascii="Arial" w:hAnsi="Arial" w:cs="Arial"/>
        </w:rPr>
        <w:t>2</w:t>
      </w:r>
      <w:r w:rsidR="00D34029">
        <w:rPr>
          <w:rFonts w:ascii="Arial" w:hAnsi="Arial" w:cs="Arial"/>
        </w:rPr>
        <w:t>.</w:t>
      </w:r>
    </w:p>
    <w:p w:rsidR="00D10DED" w:rsidRPr="00C85F4A" w:rsidRDefault="00D10DED" w:rsidP="009E5588">
      <w:pPr>
        <w:ind w:left="-284" w:right="-234"/>
        <w:jc w:val="both"/>
        <w:rPr>
          <w:rFonts w:ascii="Arial" w:hAnsi="Arial" w:cs="Arial"/>
        </w:rPr>
      </w:pPr>
    </w:p>
    <w:p w:rsidR="009E5588" w:rsidRDefault="009E5588" w:rsidP="009E5588">
      <w:pPr>
        <w:ind w:left="-284" w:right="-234"/>
        <w:jc w:val="both"/>
        <w:rPr>
          <w:rFonts w:ascii="Arial" w:hAnsi="Arial" w:cs="Arial"/>
          <w:b/>
        </w:rPr>
      </w:pPr>
      <w:r w:rsidRPr="00204C42">
        <w:rPr>
          <w:rFonts w:ascii="Arial" w:hAnsi="Arial" w:cs="Arial"/>
          <w:b/>
        </w:rPr>
        <w:t>Respetad</w:t>
      </w:r>
      <w:r w:rsidR="00204C42" w:rsidRPr="00204C42">
        <w:rPr>
          <w:rFonts w:ascii="Arial" w:hAnsi="Arial" w:cs="Arial"/>
          <w:b/>
        </w:rPr>
        <w:t>o</w:t>
      </w:r>
      <w:r w:rsidRPr="00204C42">
        <w:rPr>
          <w:rFonts w:ascii="Arial" w:hAnsi="Arial" w:cs="Arial"/>
          <w:b/>
        </w:rPr>
        <w:t xml:space="preserve"> Doctor</w:t>
      </w:r>
      <w:r w:rsidR="00204C42" w:rsidRPr="00204C42">
        <w:rPr>
          <w:rFonts w:ascii="Arial" w:hAnsi="Arial" w:cs="Arial"/>
          <w:b/>
        </w:rPr>
        <w:t xml:space="preserve"> Rojas</w:t>
      </w:r>
      <w:r w:rsidRPr="00204C42">
        <w:rPr>
          <w:rFonts w:ascii="Arial" w:hAnsi="Arial" w:cs="Arial"/>
          <w:b/>
        </w:rPr>
        <w:t>:</w:t>
      </w:r>
    </w:p>
    <w:p w:rsidR="00D10DED" w:rsidRPr="00204C42" w:rsidRDefault="00D10DED" w:rsidP="009E5588">
      <w:pPr>
        <w:ind w:left="-284" w:right="-234"/>
        <w:jc w:val="both"/>
        <w:rPr>
          <w:rFonts w:ascii="Arial" w:hAnsi="Arial" w:cs="Arial"/>
          <w:b/>
        </w:rPr>
      </w:pPr>
    </w:p>
    <w:p w:rsidR="009E5588" w:rsidRPr="00C85F4A" w:rsidRDefault="009E5588" w:rsidP="009E5588">
      <w:pPr>
        <w:ind w:left="-284" w:right="-234"/>
        <w:jc w:val="both"/>
        <w:rPr>
          <w:rFonts w:ascii="Arial" w:hAnsi="Arial" w:cs="Arial"/>
        </w:rPr>
      </w:pPr>
      <w:r w:rsidRPr="00C85F4A">
        <w:rPr>
          <w:rFonts w:ascii="Arial" w:hAnsi="Arial" w:cs="Arial"/>
        </w:rPr>
        <w:t xml:space="preserve">De conformidad con lo establecido en el inciso primero del parágrafo del artículo 310 de la Ley 5ª de 1992 ‘‘Orgánica del Reglamento del Congreso” y con el fin de garantizar el debido proceso: </w:t>
      </w:r>
      <w:r w:rsidRPr="00C85F4A">
        <w:rPr>
          <w:rFonts w:ascii="Arial" w:hAnsi="Arial" w:cs="Arial"/>
          <w:i/>
        </w:rPr>
        <w:t xml:space="preserve">“La Comisión antes de enviar el proyecto de resolución de fenecimiento, fijará un plazo prudencial para que los responsables según la Ley, contesten los cargos que resulten del examen” </w:t>
      </w:r>
      <w:r w:rsidRPr="00C85F4A">
        <w:rPr>
          <w:rFonts w:ascii="Arial" w:hAnsi="Arial" w:cs="Arial"/>
        </w:rPr>
        <w:t xml:space="preserve">y en los términos improrrogables de los artículos 258 y 259 de la misma ley (5 días calendarios), atentamente me dirijo a usted para solicitarle: </w:t>
      </w:r>
      <w:r w:rsidRPr="00C85F4A">
        <w:rPr>
          <w:rFonts w:ascii="Arial" w:hAnsi="Arial" w:cs="Arial"/>
          <w:b/>
          <w:i/>
          <w:u w:val="single"/>
        </w:rPr>
        <w:t xml:space="preserve">Dar </w:t>
      </w:r>
      <w:r>
        <w:rPr>
          <w:rFonts w:ascii="Arial" w:hAnsi="Arial" w:cs="Arial"/>
          <w:b/>
          <w:i/>
          <w:u w:val="single"/>
        </w:rPr>
        <w:t>explicación</w:t>
      </w:r>
      <w:r w:rsidRPr="00C85F4A">
        <w:rPr>
          <w:rFonts w:ascii="Arial" w:hAnsi="Arial" w:cs="Arial"/>
          <w:b/>
          <w:i/>
          <w:u w:val="single"/>
        </w:rPr>
        <w:t xml:space="preserve"> explicita y precisa </w:t>
      </w:r>
      <w:r>
        <w:rPr>
          <w:rFonts w:ascii="Arial" w:hAnsi="Arial" w:cs="Arial"/>
          <w:b/>
          <w:i/>
          <w:u w:val="single"/>
        </w:rPr>
        <w:t xml:space="preserve">(GESTIÓN Y DEPURACIÓN DESARROLLADA) </w:t>
      </w:r>
      <w:r w:rsidRPr="00C85F4A">
        <w:rPr>
          <w:rFonts w:ascii="Arial" w:hAnsi="Arial" w:cs="Arial"/>
          <w:b/>
          <w:i/>
          <w:u w:val="single"/>
        </w:rPr>
        <w:t>a cada una de las glosas formuladas por  la Contraloría General de la República y a las observaciones de tipo presupuestal, contable, administrativo, control interno contable y cumplimiento de los planes de mejoramiento</w:t>
      </w:r>
      <w:r w:rsidRPr="00C85F4A">
        <w:rPr>
          <w:rFonts w:ascii="Arial" w:hAnsi="Arial" w:cs="Arial"/>
        </w:rPr>
        <w:t xml:space="preserve"> establecidas por la Comisión Legal de Cuentas de la Cámara de Representantes para la vigencia fiscal 202</w:t>
      </w:r>
      <w:r>
        <w:rPr>
          <w:rFonts w:ascii="Arial" w:hAnsi="Arial" w:cs="Arial"/>
        </w:rPr>
        <w:t>2</w:t>
      </w:r>
      <w:r w:rsidRPr="00C85F4A">
        <w:rPr>
          <w:rFonts w:ascii="Arial" w:hAnsi="Arial" w:cs="Arial"/>
        </w:rPr>
        <w:t>.</w:t>
      </w:r>
    </w:p>
    <w:p w:rsidR="009E5588" w:rsidRPr="00C85F4A" w:rsidRDefault="009E5588" w:rsidP="009E5588">
      <w:pPr>
        <w:ind w:right="-234"/>
        <w:jc w:val="both"/>
        <w:rPr>
          <w:rFonts w:ascii="Arial" w:hAnsi="Arial" w:cs="Arial"/>
        </w:rPr>
      </w:pPr>
    </w:p>
    <w:p w:rsidR="009E5588" w:rsidRPr="005477DF" w:rsidRDefault="009E5588" w:rsidP="009E5588">
      <w:pPr>
        <w:ind w:left="-284" w:right="-234"/>
        <w:jc w:val="both"/>
        <w:rPr>
          <w:rFonts w:ascii="Arial" w:hAnsi="Arial" w:cs="Arial"/>
        </w:rPr>
      </w:pPr>
      <w:r w:rsidRPr="005477DF">
        <w:rPr>
          <w:rFonts w:ascii="Arial" w:hAnsi="Arial" w:cs="Arial"/>
        </w:rPr>
        <w:t xml:space="preserve">El presente requerimiento que realiza la Comisión Legal de Cuentas de la Cámara de Representantes es para las entidades del nivel nacional que de acuerdo con los informes presentados por la Contraloría General de la República sobre el informe de Auditoria al Estado de Situación Financiera (Balance General) de la Nación donde el </w:t>
      </w:r>
      <w:r w:rsidRPr="005477DF">
        <w:rPr>
          <w:rFonts w:ascii="Arial" w:hAnsi="Arial" w:cs="Arial"/>
          <w:b/>
          <w:i/>
          <w:u w:val="single"/>
        </w:rPr>
        <w:t>Dictamen a los estados financieros fue con Negación de opinión</w:t>
      </w:r>
      <w:r w:rsidRPr="005477DF">
        <w:rPr>
          <w:rFonts w:ascii="Arial" w:hAnsi="Arial" w:cs="Arial"/>
          <w:b/>
          <w:i/>
        </w:rPr>
        <w:t xml:space="preserve"> y el resultado de evaluación del sistema de control fiscal interno </w:t>
      </w:r>
      <w:r>
        <w:rPr>
          <w:rFonts w:ascii="Arial" w:hAnsi="Arial" w:cs="Arial"/>
          <w:b/>
          <w:i/>
        </w:rPr>
        <w:t>presentó</w:t>
      </w:r>
      <w:r w:rsidRPr="005477DF">
        <w:rPr>
          <w:rFonts w:ascii="Arial" w:hAnsi="Arial" w:cs="Arial"/>
          <w:b/>
          <w:i/>
        </w:rPr>
        <w:t xml:space="preserve"> deficiencias </w:t>
      </w:r>
      <w:r w:rsidRPr="005477DF">
        <w:rPr>
          <w:rFonts w:ascii="Arial" w:hAnsi="Arial" w:cs="Arial"/>
        </w:rPr>
        <w:t>a 31 de diciembre de 2022.</w:t>
      </w:r>
    </w:p>
    <w:p w:rsidR="009E5588" w:rsidRPr="005477DF" w:rsidRDefault="009E5588" w:rsidP="009E5588">
      <w:pPr>
        <w:ind w:left="-284" w:right="-234"/>
        <w:jc w:val="both"/>
        <w:rPr>
          <w:rFonts w:ascii="Arial" w:hAnsi="Arial" w:cs="Arial"/>
          <w:b/>
          <w:sz w:val="28"/>
          <w:szCs w:val="28"/>
        </w:rPr>
      </w:pPr>
    </w:p>
    <w:p w:rsidR="009E5588" w:rsidRPr="00C85F4A" w:rsidRDefault="009E5588" w:rsidP="009E5588">
      <w:pPr>
        <w:pStyle w:val="Prrafodelista"/>
        <w:ind w:left="-284" w:right="-234" w:firstLine="0"/>
        <w:rPr>
          <w:sz w:val="24"/>
          <w:szCs w:val="24"/>
        </w:rPr>
      </w:pPr>
      <w:r w:rsidRPr="00C85F4A">
        <w:rPr>
          <w:sz w:val="24"/>
          <w:szCs w:val="24"/>
        </w:rPr>
        <w:t xml:space="preserve">En cada glosa de la Contraloría General de la República en materia contable </w:t>
      </w:r>
      <w:r>
        <w:rPr>
          <w:sz w:val="24"/>
          <w:szCs w:val="24"/>
        </w:rPr>
        <w:t xml:space="preserve">y de control fiscal interno y en </w:t>
      </w:r>
      <w:r w:rsidRPr="00C85F4A">
        <w:rPr>
          <w:sz w:val="24"/>
          <w:szCs w:val="24"/>
        </w:rPr>
        <w:t>cada observación de la Comisión Legal de Cuentas en materia presupuestal, contable</w:t>
      </w:r>
      <w:r>
        <w:rPr>
          <w:sz w:val="24"/>
          <w:szCs w:val="24"/>
        </w:rPr>
        <w:t>,</w:t>
      </w:r>
      <w:r w:rsidRPr="00C85F4A">
        <w:rPr>
          <w:sz w:val="24"/>
          <w:szCs w:val="24"/>
        </w:rPr>
        <w:t xml:space="preserve"> administrativa</w:t>
      </w:r>
      <w:r>
        <w:rPr>
          <w:sz w:val="24"/>
          <w:szCs w:val="24"/>
        </w:rPr>
        <w:t xml:space="preserve">, control interno contable </w:t>
      </w:r>
      <w:r w:rsidRPr="00C85F4A">
        <w:rPr>
          <w:sz w:val="24"/>
          <w:szCs w:val="24"/>
        </w:rPr>
        <w:t>y cumplimiento de planes de mejoramiento; favor dar las explicaciones correspondientes en forma clara y precisa</w:t>
      </w:r>
      <w:r>
        <w:rPr>
          <w:sz w:val="24"/>
          <w:szCs w:val="24"/>
        </w:rPr>
        <w:t xml:space="preserve"> </w:t>
      </w:r>
      <w:r w:rsidRPr="00C85F4A">
        <w:rPr>
          <w:sz w:val="24"/>
          <w:szCs w:val="24"/>
        </w:rPr>
        <w:t xml:space="preserve">en el formato establecido por esta Comisión, </w:t>
      </w:r>
      <w:r w:rsidRPr="008C534B">
        <w:rPr>
          <w:b/>
          <w:sz w:val="24"/>
          <w:szCs w:val="24"/>
          <w:u w:val="single"/>
        </w:rPr>
        <w:t>y mostrar la gestión desarrollada para su corrección o depuración</w:t>
      </w:r>
      <w:r w:rsidRPr="00C85F4A">
        <w:rPr>
          <w:sz w:val="24"/>
          <w:szCs w:val="24"/>
        </w:rPr>
        <w:t>.</w:t>
      </w:r>
    </w:p>
    <w:p w:rsidR="00967D65" w:rsidRDefault="00967D65" w:rsidP="009E5588">
      <w:pPr>
        <w:pStyle w:val="Prrafodelista"/>
        <w:ind w:left="-284" w:right="-234" w:firstLine="0"/>
        <w:rPr>
          <w:sz w:val="24"/>
          <w:szCs w:val="24"/>
        </w:rPr>
      </w:pPr>
    </w:p>
    <w:p w:rsidR="00967D65" w:rsidRDefault="00967D65" w:rsidP="009E5588">
      <w:pPr>
        <w:pStyle w:val="Prrafodelista"/>
        <w:ind w:left="-284" w:right="-234" w:firstLine="0"/>
        <w:rPr>
          <w:sz w:val="24"/>
          <w:szCs w:val="24"/>
        </w:rPr>
      </w:pPr>
    </w:p>
    <w:p w:rsidR="009E5588" w:rsidRDefault="009E5588" w:rsidP="009E5588">
      <w:pPr>
        <w:pStyle w:val="Prrafodelista"/>
        <w:ind w:left="-284" w:right="-234" w:firstLine="0"/>
        <w:rPr>
          <w:sz w:val="24"/>
          <w:szCs w:val="24"/>
        </w:rPr>
      </w:pPr>
      <w:r w:rsidRPr="00C85F4A">
        <w:rPr>
          <w:sz w:val="24"/>
          <w:szCs w:val="24"/>
        </w:rPr>
        <w:t xml:space="preserve">Así mismo, se le informa que usted  </w:t>
      </w:r>
      <w:r>
        <w:rPr>
          <w:sz w:val="24"/>
          <w:szCs w:val="24"/>
        </w:rPr>
        <w:t xml:space="preserve">será </w:t>
      </w:r>
      <w:r w:rsidRPr="00C85F4A">
        <w:rPr>
          <w:sz w:val="24"/>
          <w:szCs w:val="24"/>
        </w:rPr>
        <w:t>citado a debat</w:t>
      </w:r>
      <w:r w:rsidR="00D34029">
        <w:rPr>
          <w:sz w:val="24"/>
          <w:szCs w:val="24"/>
        </w:rPr>
        <w:t>e</w:t>
      </w:r>
      <w:r w:rsidRPr="00C85F4A">
        <w:rPr>
          <w:sz w:val="24"/>
          <w:szCs w:val="24"/>
        </w:rPr>
        <w:t xml:space="preserve"> de control político (sesión formal) </w:t>
      </w:r>
      <w:r>
        <w:rPr>
          <w:sz w:val="24"/>
          <w:szCs w:val="24"/>
        </w:rPr>
        <w:t xml:space="preserve">o a Subcomisión de Seguimiento </w:t>
      </w:r>
      <w:r w:rsidRPr="00C85F4A">
        <w:rPr>
          <w:sz w:val="24"/>
          <w:szCs w:val="24"/>
        </w:rPr>
        <w:t xml:space="preserve">de la Comisión </w:t>
      </w:r>
      <w:r>
        <w:rPr>
          <w:sz w:val="24"/>
          <w:szCs w:val="24"/>
        </w:rPr>
        <w:t xml:space="preserve">Legal de Cuentas </w:t>
      </w:r>
      <w:r w:rsidRPr="00C85F4A">
        <w:rPr>
          <w:sz w:val="24"/>
          <w:szCs w:val="24"/>
        </w:rPr>
        <w:t xml:space="preserve">para que brinde las explicaciones a las glosas de la Contraloría General de la República, a las observaciones de la Comisión Legal de Cuentas, y la presentación de su plan de acción para superar el </w:t>
      </w:r>
      <w:r w:rsidRPr="00B63BD1">
        <w:rPr>
          <w:b/>
          <w:sz w:val="28"/>
          <w:szCs w:val="24"/>
          <w:u w:val="single"/>
        </w:rPr>
        <w:t xml:space="preserve">Dictamen </w:t>
      </w:r>
      <w:r>
        <w:rPr>
          <w:b/>
          <w:sz w:val="28"/>
          <w:szCs w:val="24"/>
          <w:u w:val="single"/>
        </w:rPr>
        <w:t xml:space="preserve">con negación </w:t>
      </w:r>
      <w:r w:rsidRPr="00B63BD1">
        <w:rPr>
          <w:b/>
          <w:sz w:val="28"/>
          <w:szCs w:val="24"/>
          <w:u w:val="single"/>
        </w:rPr>
        <w:t>de opinión a sus estados financieros para la vigencia 202</w:t>
      </w:r>
      <w:r>
        <w:rPr>
          <w:b/>
          <w:sz w:val="28"/>
          <w:szCs w:val="24"/>
          <w:u w:val="single"/>
        </w:rPr>
        <w:t>2</w:t>
      </w:r>
      <w:r w:rsidRPr="00B63BD1">
        <w:rPr>
          <w:sz w:val="28"/>
          <w:szCs w:val="24"/>
        </w:rPr>
        <w:t>, de co</w:t>
      </w:r>
      <w:r w:rsidRPr="00C85F4A">
        <w:rPr>
          <w:sz w:val="24"/>
          <w:szCs w:val="24"/>
        </w:rPr>
        <w:t>nformidad con el artículo 233 concordante con el 310 de la Ley 5ª de 1992 “Orgánica del Reglamento del Congreso”.</w:t>
      </w:r>
    </w:p>
    <w:p w:rsidR="00C37547" w:rsidRDefault="00C37547" w:rsidP="009E5588">
      <w:pPr>
        <w:pStyle w:val="Prrafodelista"/>
        <w:ind w:left="-284" w:right="-234" w:firstLine="0"/>
        <w:rPr>
          <w:sz w:val="24"/>
          <w:szCs w:val="24"/>
        </w:rPr>
      </w:pPr>
    </w:p>
    <w:p w:rsidR="00915653" w:rsidRDefault="00915653" w:rsidP="00915653">
      <w:pPr>
        <w:ind w:left="-284" w:right="-234"/>
        <w:jc w:val="both"/>
        <w:rPr>
          <w:rFonts w:ascii="Arial" w:hAnsi="Arial" w:cs="Arial"/>
        </w:rPr>
      </w:pPr>
      <w:r w:rsidRPr="004246BF">
        <w:rPr>
          <w:rFonts w:ascii="Arial" w:hAnsi="Arial" w:cs="Arial"/>
          <w:b/>
          <w:u w:val="single"/>
        </w:rPr>
        <w:t>NOTA</w:t>
      </w:r>
      <w:r>
        <w:rPr>
          <w:rFonts w:ascii="Arial" w:hAnsi="Arial" w:cs="Arial"/>
          <w:b/>
          <w:u w:val="single"/>
        </w:rPr>
        <w:t xml:space="preserve"> 1</w:t>
      </w:r>
      <w:r w:rsidRPr="004246BF">
        <w:rPr>
          <w:rFonts w:ascii="Arial" w:hAnsi="Arial" w:cs="Arial"/>
          <w:b/>
          <w:u w:val="single"/>
        </w:rPr>
        <w:t>:</w:t>
      </w:r>
      <w:r w:rsidRPr="004246BF">
        <w:rPr>
          <w:rFonts w:ascii="Arial" w:hAnsi="Arial" w:cs="Arial"/>
        </w:rPr>
        <w:t xml:space="preserve"> Se adjunta a la presente solicitud </w:t>
      </w:r>
      <w:r>
        <w:rPr>
          <w:rFonts w:ascii="Arial" w:hAnsi="Arial" w:cs="Arial"/>
        </w:rPr>
        <w:t>(</w:t>
      </w:r>
      <w:r w:rsidRPr="004246BF">
        <w:rPr>
          <w:rFonts w:ascii="Arial" w:hAnsi="Arial" w:cs="Arial"/>
        </w:rPr>
        <w:t>formato preestablecido</w:t>
      </w:r>
      <w:r>
        <w:rPr>
          <w:rFonts w:ascii="Arial" w:hAnsi="Arial" w:cs="Arial"/>
        </w:rPr>
        <w:t>)</w:t>
      </w:r>
      <w:r w:rsidRPr="004246BF">
        <w:rPr>
          <w:rFonts w:ascii="Arial" w:hAnsi="Arial" w:cs="Arial"/>
        </w:rPr>
        <w:t xml:space="preserve"> en texto Word, para que así mismo se den las explicaciones pertinentes en el mismo formato</w:t>
      </w:r>
      <w:r w:rsidRPr="004246BF">
        <w:rPr>
          <w:rFonts w:ascii="Arial" w:hAnsi="Arial" w:cs="Arial"/>
          <w:b/>
          <w:u w:val="single"/>
        </w:rPr>
        <w:t xml:space="preserve"> WORD</w:t>
      </w:r>
      <w:r w:rsidRPr="004246BF">
        <w:rPr>
          <w:rFonts w:ascii="Arial" w:hAnsi="Arial" w:cs="Arial"/>
        </w:rPr>
        <w:t xml:space="preserve">, </w:t>
      </w:r>
      <w:r>
        <w:rPr>
          <w:rFonts w:ascii="Arial" w:hAnsi="Arial" w:cs="Arial"/>
        </w:rPr>
        <w:t xml:space="preserve">y </w:t>
      </w:r>
      <w:r w:rsidRPr="004246BF">
        <w:rPr>
          <w:rFonts w:ascii="Arial" w:hAnsi="Arial" w:cs="Arial"/>
        </w:rPr>
        <w:t xml:space="preserve">remitir </w:t>
      </w:r>
      <w:r>
        <w:rPr>
          <w:rFonts w:ascii="Arial" w:hAnsi="Arial" w:cs="Arial"/>
        </w:rPr>
        <w:t xml:space="preserve">las respuestas en medio físico a la Secretaría General de la Comisión y en medio electrónico al </w:t>
      </w:r>
      <w:r w:rsidRPr="004246BF">
        <w:rPr>
          <w:rFonts w:ascii="Arial" w:hAnsi="Arial" w:cs="Arial"/>
        </w:rPr>
        <w:t>correo:</w:t>
      </w:r>
      <w:r>
        <w:rPr>
          <w:rFonts w:ascii="Arial" w:hAnsi="Arial" w:cs="Arial"/>
        </w:rPr>
        <w:t xml:space="preserve"> </w:t>
      </w:r>
    </w:p>
    <w:p w:rsidR="00331484" w:rsidRDefault="00331484" w:rsidP="00915653">
      <w:pPr>
        <w:ind w:left="-284" w:right="-234"/>
        <w:jc w:val="both"/>
        <w:rPr>
          <w:rFonts w:ascii="Arial" w:hAnsi="Arial" w:cs="Arial"/>
        </w:rPr>
      </w:pPr>
    </w:p>
    <w:p w:rsidR="00331484" w:rsidRPr="00331484" w:rsidRDefault="00331484" w:rsidP="00331484">
      <w:pPr>
        <w:ind w:left="-284" w:right="-234"/>
        <w:jc w:val="both"/>
        <w:rPr>
          <w:rFonts w:ascii="Arial" w:hAnsi="Arial" w:cs="Arial"/>
        </w:rPr>
      </w:pPr>
    </w:p>
    <w:p w:rsidR="00915653" w:rsidRPr="0012464D" w:rsidRDefault="00331484" w:rsidP="00331484">
      <w:pPr>
        <w:ind w:left="-284" w:right="-234"/>
        <w:jc w:val="both"/>
        <w:rPr>
          <w:rFonts w:ascii="Arial" w:hAnsi="Arial" w:cs="Arial"/>
        </w:rPr>
      </w:pPr>
      <w:r>
        <w:rPr>
          <w:rFonts w:ascii="Arial" w:hAnsi="Arial" w:cs="Arial"/>
        </w:rPr>
        <w:t xml:space="preserve"> </w:t>
      </w:r>
      <w:r w:rsidRPr="00331484">
        <w:rPr>
          <w:rFonts w:ascii="Arial" w:hAnsi="Arial" w:cs="Arial"/>
        </w:rPr>
        <w:t>comisionlegaldecuentasfen@camara.gov.co</w:t>
      </w:r>
      <w:r w:rsidR="00915653" w:rsidRPr="0012464D">
        <w:rPr>
          <w:rFonts w:ascii="Arial" w:hAnsi="Arial" w:cs="Arial"/>
        </w:rPr>
        <w:t xml:space="preserve"> </w:t>
      </w:r>
    </w:p>
    <w:p w:rsidR="00915653" w:rsidRPr="00C679B9" w:rsidRDefault="00915653" w:rsidP="00915653">
      <w:pPr>
        <w:ind w:left="-284" w:right="-234"/>
        <w:jc w:val="both"/>
        <w:rPr>
          <w:rFonts w:ascii="Arial" w:hAnsi="Arial" w:cs="Arial"/>
          <w:b/>
          <w:bCs/>
          <w:sz w:val="28"/>
          <w:szCs w:val="28"/>
        </w:rPr>
      </w:pPr>
      <w:r>
        <w:rPr>
          <w:rFonts w:ascii="Arial" w:hAnsi="Arial" w:cs="Arial"/>
        </w:rPr>
        <w:t xml:space="preserve"> auditoria.interna@camara.gov.co</w:t>
      </w:r>
    </w:p>
    <w:p w:rsidR="00915653" w:rsidRDefault="00915653" w:rsidP="00915653">
      <w:pPr>
        <w:ind w:left="-284" w:right="-234"/>
        <w:jc w:val="both"/>
        <w:rPr>
          <w:rFonts w:ascii="Arial" w:hAnsi="Arial" w:cs="Arial"/>
          <w:b/>
          <w:sz w:val="28"/>
          <w:szCs w:val="28"/>
        </w:rPr>
      </w:pPr>
    </w:p>
    <w:p w:rsidR="00915653" w:rsidRDefault="00915653" w:rsidP="00915653">
      <w:pPr>
        <w:ind w:left="-284" w:right="-234"/>
        <w:rPr>
          <w:rFonts w:ascii="Arial" w:hAnsi="Arial" w:cs="Arial"/>
          <w:sz w:val="28"/>
          <w:szCs w:val="28"/>
        </w:rPr>
      </w:pPr>
      <w:r w:rsidRPr="008C534B">
        <w:rPr>
          <w:rFonts w:ascii="Arial" w:hAnsi="Arial" w:cs="Arial"/>
          <w:b/>
        </w:rPr>
        <w:t>NOTA 2</w:t>
      </w:r>
      <w:r>
        <w:rPr>
          <w:rFonts w:ascii="Arial" w:hAnsi="Arial" w:cs="Arial"/>
          <w:b/>
          <w:sz w:val="28"/>
          <w:szCs w:val="28"/>
        </w:rPr>
        <w:t xml:space="preserve">: </w:t>
      </w:r>
      <w:r>
        <w:rPr>
          <w:rFonts w:ascii="Arial" w:hAnsi="Arial" w:cs="Arial"/>
          <w:sz w:val="28"/>
          <w:szCs w:val="28"/>
        </w:rPr>
        <w:t xml:space="preserve">Cualquier aclaración adicional favor enviar su inquietud a:   </w:t>
      </w:r>
    </w:p>
    <w:p w:rsidR="00915653" w:rsidRPr="0012464D" w:rsidRDefault="00915653" w:rsidP="00915653">
      <w:pPr>
        <w:ind w:left="-284" w:right="-234"/>
        <w:rPr>
          <w:rStyle w:val="Hipervnculo"/>
          <w:rFonts w:ascii="Arial" w:hAnsi="Arial" w:cs="Arial"/>
          <w:b/>
          <w:color w:val="auto"/>
          <w:sz w:val="28"/>
          <w:szCs w:val="28"/>
          <w:u w:val="none"/>
        </w:rPr>
      </w:pPr>
      <w:r w:rsidRPr="0012464D">
        <w:rPr>
          <w:rFonts w:ascii="Arial" w:hAnsi="Arial" w:cs="Arial"/>
          <w:b/>
        </w:rPr>
        <w:t xml:space="preserve"> </w:t>
      </w:r>
      <w:hyperlink r:id="rId7" w:history="1">
        <w:r w:rsidRPr="0012464D">
          <w:rPr>
            <w:rStyle w:val="Hipervnculo"/>
            <w:rFonts w:ascii="Arial" w:hAnsi="Arial" w:cs="Arial"/>
            <w:b/>
            <w:color w:val="auto"/>
            <w:sz w:val="28"/>
            <w:szCs w:val="28"/>
            <w:u w:val="none"/>
          </w:rPr>
          <w:t>fabian.trujillo@camara.gov.co</w:t>
        </w:r>
      </w:hyperlink>
    </w:p>
    <w:p w:rsidR="00915653" w:rsidRDefault="00915653" w:rsidP="00915653">
      <w:pPr>
        <w:ind w:left="-284" w:right="-234"/>
        <w:jc w:val="both"/>
        <w:rPr>
          <w:rFonts w:ascii="Arial" w:hAnsi="Arial" w:cs="Arial"/>
          <w:b/>
        </w:rPr>
      </w:pPr>
    </w:p>
    <w:p w:rsidR="00915653" w:rsidRDefault="00915653" w:rsidP="00915653">
      <w:pPr>
        <w:ind w:left="-284" w:right="-234"/>
        <w:jc w:val="both"/>
        <w:rPr>
          <w:rFonts w:ascii="Arial" w:hAnsi="Arial" w:cs="Arial"/>
        </w:rPr>
      </w:pPr>
      <w:r>
        <w:rPr>
          <w:rFonts w:ascii="Arial" w:hAnsi="Arial" w:cs="Arial"/>
          <w:b/>
        </w:rPr>
        <w:t>NOTA 3</w:t>
      </w:r>
      <w:r>
        <w:rPr>
          <w:rFonts w:ascii="Arial" w:hAnsi="Arial" w:cs="Arial"/>
        </w:rPr>
        <w:t>: El texto en Word del presente requerimiento se encuentra publicada en la página de la Cámara de Representantes en el siguiente link.</w:t>
      </w:r>
    </w:p>
    <w:p w:rsidR="00915653" w:rsidRDefault="00915653" w:rsidP="00915653">
      <w:pPr>
        <w:ind w:left="-284" w:right="-234"/>
        <w:jc w:val="both"/>
        <w:rPr>
          <w:rFonts w:ascii="Arial" w:hAnsi="Arial" w:cs="Arial"/>
          <w:sz w:val="28"/>
          <w:szCs w:val="28"/>
        </w:rPr>
      </w:pPr>
    </w:p>
    <w:p w:rsidR="00915653" w:rsidRDefault="00915653" w:rsidP="00915653">
      <w:pPr>
        <w:ind w:left="-284" w:right="-234"/>
        <w:jc w:val="both"/>
        <w:rPr>
          <w:rFonts w:ascii="Arial" w:hAnsi="Arial" w:cs="Arial"/>
          <w:sz w:val="28"/>
          <w:szCs w:val="28"/>
        </w:rPr>
      </w:pPr>
      <w:r>
        <w:rPr>
          <w:rFonts w:ascii="Arial" w:hAnsi="Arial" w:cs="Arial"/>
          <w:sz w:val="28"/>
          <w:szCs w:val="28"/>
        </w:rPr>
        <w:t>https://www.camara.gov.co/comision-legal-de-cuentas</w:t>
      </w:r>
    </w:p>
    <w:p w:rsidR="00915653" w:rsidRDefault="00915653" w:rsidP="00915653">
      <w:pPr>
        <w:ind w:left="-284" w:right="-234"/>
        <w:jc w:val="both"/>
        <w:rPr>
          <w:rFonts w:ascii="Arial" w:hAnsi="Arial" w:cs="Arial"/>
          <w:b/>
          <w:u w:val="single"/>
        </w:rPr>
      </w:pPr>
    </w:p>
    <w:p w:rsidR="00915653" w:rsidRDefault="00915653" w:rsidP="00915653">
      <w:pPr>
        <w:spacing w:before="120"/>
        <w:ind w:left="-284"/>
        <w:jc w:val="both"/>
        <w:rPr>
          <w:rFonts w:ascii="Arial" w:hAnsi="Arial" w:cs="Arial"/>
          <w:sz w:val="26"/>
          <w:szCs w:val="26"/>
        </w:rPr>
      </w:pPr>
      <w:r w:rsidRPr="004246BF">
        <w:rPr>
          <w:rFonts w:ascii="Arial" w:hAnsi="Arial" w:cs="Arial"/>
          <w:sz w:val="26"/>
          <w:szCs w:val="26"/>
        </w:rPr>
        <w:t xml:space="preserve">Cordialmente, </w:t>
      </w:r>
    </w:p>
    <w:p w:rsidR="00915653" w:rsidRDefault="00915653" w:rsidP="00915653">
      <w:pPr>
        <w:spacing w:before="120"/>
        <w:ind w:left="-284"/>
        <w:jc w:val="both"/>
        <w:rPr>
          <w:rFonts w:ascii="Arial" w:hAnsi="Arial" w:cs="Arial"/>
          <w:sz w:val="26"/>
          <w:szCs w:val="26"/>
        </w:rPr>
      </w:pPr>
    </w:p>
    <w:p w:rsidR="00915653" w:rsidRDefault="00331484" w:rsidP="00915653">
      <w:pPr>
        <w:spacing w:before="120"/>
        <w:ind w:left="-284"/>
        <w:jc w:val="both"/>
        <w:rPr>
          <w:rFonts w:ascii="Arial" w:hAnsi="Arial" w:cs="Arial"/>
          <w:sz w:val="26"/>
          <w:szCs w:val="26"/>
        </w:rPr>
      </w:pPr>
      <w:r w:rsidRPr="00331484">
        <w:rPr>
          <w:rFonts w:ascii="Arial" w:hAnsi="Arial" w:cs="Arial"/>
          <w:noProof/>
          <w:sz w:val="26"/>
          <w:szCs w:val="26"/>
        </w:rPr>
        <w:drawing>
          <wp:inline distT="0" distB="0" distL="0" distR="0" wp14:anchorId="455041B9" wp14:editId="32F62901">
            <wp:extent cx="2059305" cy="309245"/>
            <wp:effectExtent l="0" t="0" r="0" b="0"/>
            <wp:docPr id="4" name="0 Imagen">
              <a:extLst xmlns:a="http://schemas.openxmlformats.org/drawingml/2006/main">
                <a:ext uri="{FF2B5EF4-FFF2-40B4-BE49-F238E27FC236}">
                  <a16:creationId xmlns:a16="http://schemas.microsoft.com/office/drawing/2014/main" id="{9DD664AA-724A-4F9E-A34E-733D55291082}"/>
                </a:ext>
              </a:extLst>
            </wp:docPr>
            <wp:cNvGraphicFramePr/>
            <a:graphic xmlns:a="http://schemas.openxmlformats.org/drawingml/2006/main">
              <a:graphicData uri="http://schemas.openxmlformats.org/drawingml/2006/picture">
                <pic:pic xmlns:pic="http://schemas.openxmlformats.org/drawingml/2006/picture">
                  <pic:nvPicPr>
                    <pic:cNvPr id="4" name="0 Imagen">
                      <a:extLst>
                        <a:ext uri="{FF2B5EF4-FFF2-40B4-BE49-F238E27FC236}">
                          <a16:creationId xmlns:a16="http://schemas.microsoft.com/office/drawing/2014/main" id="{9DD664AA-724A-4F9E-A34E-733D55291082}"/>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59305" cy="309245"/>
                    </a:xfrm>
                    <a:prstGeom prst="rect">
                      <a:avLst/>
                    </a:prstGeom>
                  </pic:spPr>
                </pic:pic>
              </a:graphicData>
            </a:graphic>
          </wp:inline>
        </w:drawing>
      </w:r>
    </w:p>
    <w:p w:rsidR="00915653" w:rsidRDefault="00915653" w:rsidP="00915653">
      <w:pPr>
        <w:spacing w:line="120" w:lineRule="exact"/>
        <w:ind w:left="-284"/>
        <w:jc w:val="both"/>
        <w:rPr>
          <w:rFonts w:ascii="Arial" w:hAnsi="Arial" w:cs="Arial"/>
          <w:b/>
        </w:rPr>
      </w:pPr>
    </w:p>
    <w:p w:rsidR="00915653" w:rsidRPr="00E93B8C" w:rsidRDefault="00915653" w:rsidP="00915653">
      <w:pPr>
        <w:tabs>
          <w:tab w:val="center" w:pos="4844"/>
        </w:tabs>
        <w:ind w:left="-284"/>
        <w:jc w:val="both"/>
        <w:rPr>
          <w:rFonts w:ascii="Arial" w:hAnsi="Arial" w:cs="Arial"/>
          <w:b/>
        </w:rPr>
      </w:pPr>
      <w:r w:rsidRPr="00E93B8C">
        <w:rPr>
          <w:rFonts w:ascii="Arial" w:hAnsi="Arial" w:cs="Arial"/>
          <w:b/>
        </w:rPr>
        <w:t>JOHN EDGAR PEREZ ROJAS</w:t>
      </w:r>
      <w:r>
        <w:rPr>
          <w:rFonts w:ascii="Arial" w:hAnsi="Arial" w:cs="Arial"/>
          <w:b/>
        </w:rPr>
        <w:tab/>
      </w:r>
    </w:p>
    <w:p w:rsidR="00915653" w:rsidRPr="00E93B8C" w:rsidRDefault="00915653" w:rsidP="00915653">
      <w:pPr>
        <w:ind w:left="-284"/>
        <w:jc w:val="both"/>
        <w:rPr>
          <w:rFonts w:ascii="Arial" w:hAnsi="Arial" w:cs="Arial"/>
          <w:b/>
        </w:rPr>
      </w:pPr>
      <w:r>
        <w:rPr>
          <w:rFonts w:ascii="Arial" w:hAnsi="Arial" w:cs="Arial"/>
          <w:b/>
        </w:rPr>
        <w:t xml:space="preserve">             </w:t>
      </w:r>
      <w:r w:rsidRPr="00E93B8C">
        <w:rPr>
          <w:rFonts w:ascii="Arial" w:hAnsi="Arial" w:cs="Arial"/>
          <w:b/>
        </w:rPr>
        <w:t>Presidente</w:t>
      </w:r>
    </w:p>
    <w:p w:rsidR="00915653" w:rsidRPr="00E93B8C" w:rsidRDefault="00915653" w:rsidP="00915653">
      <w:pPr>
        <w:ind w:left="-284"/>
        <w:jc w:val="both"/>
        <w:rPr>
          <w:rFonts w:ascii="Arial" w:hAnsi="Arial" w:cs="Arial"/>
          <w:b/>
        </w:rPr>
      </w:pPr>
      <w:r w:rsidRPr="00E93B8C">
        <w:rPr>
          <w:rFonts w:ascii="Arial" w:hAnsi="Arial" w:cs="Arial"/>
          <w:b/>
        </w:rPr>
        <w:t>Comisión Legal de Cuentas</w:t>
      </w:r>
    </w:p>
    <w:p w:rsidR="00915653" w:rsidRPr="00E93B8C" w:rsidRDefault="00915653" w:rsidP="00915653">
      <w:pPr>
        <w:ind w:left="-284"/>
        <w:jc w:val="both"/>
        <w:rPr>
          <w:rFonts w:ascii="Arial" w:hAnsi="Arial" w:cs="Arial"/>
          <w:b/>
        </w:rPr>
      </w:pPr>
      <w:r w:rsidRPr="00E93B8C">
        <w:rPr>
          <w:rFonts w:ascii="Arial" w:hAnsi="Arial" w:cs="Arial"/>
          <w:b/>
        </w:rPr>
        <w:t>Cámara de Representantes</w:t>
      </w:r>
    </w:p>
    <w:p w:rsidR="00915653" w:rsidRDefault="00915653" w:rsidP="007757B4">
      <w:pPr>
        <w:ind w:left="-284"/>
        <w:jc w:val="both"/>
        <w:rPr>
          <w:rFonts w:ascii="Arial" w:hAnsi="Arial" w:cs="Arial"/>
          <w:sz w:val="28"/>
          <w:szCs w:val="28"/>
        </w:rPr>
      </w:pPr>
    </w:p>
    <w:p w:rsidR="00915653" w:rsidRDefault="00915653" w:rsidP="007757B4">
      <w:pPr>
        <w:ind w:left="-284"/>
        <w:jc w:val="both"/>
        <w:rPr>
          <w:rFonts w:ascii="Arial" w:hAnsi="Arial" w:cs="Arial"/>
          <w:sz w:val="28"/>
          <w:szCs w:val="28"/>
        </w:rPr>
      </w:pPr>
    </w:p>
    <w:p w:rsidR="007757B4" w:rsidRDefault="007757B4" w:rsidP="007757B4">
      <w:pPr>
        <w:ind w:left="-284"/>
        <w:jc w:val="both"/>
        <w:rPr>
          <w:rFonts w:ascii="Arial" w:hAnsi="Arial" w:cs="Arial"/>
          <w:b/>
        </w:rPr>
      </w:pPr>
      <w:r w:rsidRPr="004246BF">
        <w:rPr>
          <w:rFonts w:ascii="Arial" w:hAnsi="Arial" w:cs="Arial"/>
          <w:sz w:val="28"/>
          <w:szCs w:val="28"/>
        </w:rPr>
        <w:t xml:space="preserve">Anexo: </w:t>
      </w:r>
      <w:r w:rsidRPr="001B4053">
        <w:rPr>
          <w:rFonts w:ascii="Arial" w:hAnsi="Arial" w:cs="Arial"/>
          <w:b/>
        </w:rPr>
        <w:t>Requerimiento</w:t>
      </w:r>
      <w:r w:rsidR="00331484">
        <w:rPr>
          <w:rFonts w:ascii="Arial" w:hAnsi="Arial" w:cs="Arial"/>
          <w:b/>
        </w:rPr>
        <w:t xml:space="preserve"> </w:t>
      </w:r>
      <w:r w:rsidR="00997E49">
        <w:rPr>
          <w:rFonts w:ascii="Arial" w:hAnsi="Arial" w:cs="Arial"/>
          <w:b/>
        </w:rPr>
        <w:t>con</w:t>
      </w:r>
      <w:bookmarkStart w:id="0" w:name="_GoBack"/>
      <w:bookmarkEnd w:id="0"/>
      <w:r w:rsidR="00331484">
        <w:rPr>
          <w:rFonts w:ascii="Arial" w:hAnsi="Arial" w:cs="Arial"/>
          <w:b/>
        </w:rPr>
        <w:t xml:space="preserve"> treinta (30) folios.</w:t>
      </w:r>
      <w:r w:rsidRPr="001B4053">
        <w:rPr>
          <w:rFonts w:ascii="Arial" w:hAnsi="Arial" w:cs="Arial"/>
          <w:b/>
        </w:rPr>
        <w:t xml:space="preserve"> </w:t>
      </w:r>
    </w:p>
    <w:p w:rsidR="007757B4" w:rsidRDefault="007757B4" w:rsidP="007757B4">
      <w:pPr>
        <w:ind w:left="-284"/>
        <w:jc w:val="both"/>
        <w:rPr>
          <w:rFonts w:ascii="Arial" w:hAnsi="Arial" w:cs="Arial"/>
          <w:b/>
        </w:rPr>
        <w:sectPr w:rsidR="007757B4" w:rsidSect="00694304">
          <w:headerReference w:type="default" r:id="rId9"/>
          <w:footerReference w:type="default" r:id="rId10"/>
          <w:pgSz w:w="12240" w:h="15840"/>
          <w:pgMar w:top="1134" w:right="1134" w:bottom="1134" w:left="1134" w:header="709" w:footer="709" w:gutter="0"/>
          <w:cols w:space="708"/>
          <w:docGrid w:linePitch="360"/>
        </w:sectPr>
      </w:pPr>
    </w:p>
    <w:p w:rsidR="007757B4" w:rsidRDefault="007757B4" w:rsidP="007701B9">
      <w:pPr>
        <w:ind w:left="-284" w:right="-234"/>
        <w:jc w:val="both"/>
        <w:rPr>
          <w:rFonts w:ascii="Arial" w:hAnsi="Arial" w:cs="Arial"/>
          <w:b/>
          <w:sz w:val="28"/>
          <w:szCs w:val="28"/>
        </w:rPr>
      </w:pPr>
    </w:p>
    <w:p w:rsidR="00682406" w:rsidRDefault="00682406" w:rsidP="007701B9">
      <w:pPr>
        <w:ind w:left="-284" w:right="-234"/>
        <w:jc w:val="both"/>
        <w:rPr>
          <w:rFonts w:ascii="Arial" w:hAnsi="Arial" w:cs="Arial"/>
          <w:b/>
          <w:sz w:val="28"/>
          <w:szCs w:val="28"/>
        </w:rPr>
      </w:pPr>
    </w:p>
    <w:p w:rsidR="00DD24A3" w:rsidRPr="00EF44C5" w:rsidRDefault="00DD24A3" w:rsidP="00DD24A3">
      <w:pPr>
        <w:ind w:left="-284" w:right="-518"/>
        <w:jc w:val="both"/>
        <w:rPr>
          <w:rFonts w:ascii="Arial" w:hAnsi="Arial" w:cs="Arial"/>
          <w:sz w:val="28"/>
          <w:szCs w:val="28"/>
        </w:rPr>
      </w:pPr>
      <w:r w:rsidRPr="00EF44C5">
        <w:rPr>
          <w:rFonts w:ascii="Arial" w:hAnsi="Arial" w:cs="Arial"/>
          <w:b/>
          <w:sz w:val="28"/>
          <w:szCs w:val="28"/>
        </w:rPr>
        <w:t xml:space="preserve">157 A.- FONDO PARA LA REHABILITACIÓN, INVERSIÓN SOCIAL Y LUCHA CONTRA EL CRIMEN ORGANOZADO </w:t>
      </w:r>
      <w:r>
        <w:rPr>
          <w:rFonts w:ascii="Arial" w:hAnsi="Arial" w:cs="Arial"/>
          <w:b/>
          <w:sz w:val="28"/>
          <w:szCs w:val="28"/>
        </w:rPr>
        <w:t>–</w:t>
      </w:r>
      <w:r w:rsidRPr="00EF44C5">
        <w:rPr>
          <w:rFonts w:ascii="Arial" w:hAnsi="Arial" w:cs="Arial"/>
          <w:b/>
          <w:sz w:val="28"/>
          <w:szCs w:val="28"/>
        </w:rPr>
        <w:t xml:space="preserve"> FRISCO</w:t>
      </w:r>
      <w:r>
        <w:rPr>
          <w:rFonts w:ascii="Arial" w:hAnsi="Arial" w:cs="Arial"/>
          <w:sz w:val="28"/>
          <w:szCs w:val="28"/>
        </w:rPr>
        <w:t>.</w:t>
      </w:r>
      <w:r w:rsidRPr="00EF44C5">
        <w:rPr>
          <w:rFonts w:ascii="Arial" w:hAnsi="Arial" w:cs="Arial"/>
          <w:sz w:val="28"/>
          <w:szCs w:val="28"/>
        </w:rPr>
        <w:t xml:space="preserve"> </w:t>
      </w:r>
    </w:p>
    <w:p w:rsidR="00DD24A3" w:rsidRPr="007701B9" w:rsidRDefault="00DD24A3" w:rsidP="00DD24A3">
      <w:pPr>
        <w:ind w:left="-284" w:right="-518"/>
        <w:jc w:val="both"/>
        <w:rPr>
          <w:rFonts w:ascii="Arial" w:hAnsi="Arial" w:cs="Arial"/>
          <w:sz w:val="28"/>
          <w:szCs w:val="28"/>
        </w:rPr>
      </w:pPr>
    </w:p>
    <w:p w:rsidR="00DD24A3" w:rsidRDefault="00DD24A3" w:rsidP="00DD24A3">
      <w:pPr>
        <w:pStyle w:val="Ttulo1"/>
        <w:spacing w:line="276" w:lineRule="auto"/>
        <w:ind w:left="-284" w:right="-518"/>
      </w:pPr>
      <w:r>
        <w:t xml:space="preserve">1.- </w:t>
      </w:r>
      <w:r w:rsidRPr="004F6386">
        <w:t>OPINIÓN</w:t>
      </w:r>
      <w:r w:rsidRPr="004F6386">
        <w:rPr>
          <w:spacing w:val="1"/>
        </w:rPr>
        <w:t xml:space="preserve"> </w:t>
      </w:r>
      <w:r w:rsidRPr="004F6386">
        <w:t>CONTABLE,</w:t>
      </w:r>
      <w:r w:rsidRPr="004F6386">
        <w:rPr>
          <w:spacing w:val="1"/>
        </w:rPr>
        <w:t xml:space="preserve"> </w:t>
      </w:r>
      <w:r w:rsidRPr="004F6386">
        <w:t>CALIFICACIÓN</w:t>
      </w:r>
      <w:r w:rsidRPr="004F6386">
        <w:rPr>
          <w:spacing w:val="1"/>
        </w:rPr>
        <w:t xml:space="preserve"> </w:t>
      </w:r>
      <w:r w:rsidRPr="004F6386">
        <w:t>DEL</w:t>
      </w:r>
      <w:r w:rsidRPr="004F6386">
        <w:rPr>
          <w:spacing w:val="1"/>
        </w:rPr>
        <w:t xml:space="preserve"> </w:t>
      </w:r>
      <w:r w:rsidRPr="004F6386">
        <w:t>SISTEMA</w:t>
      </w:r>
      <w:r w:rsidRPr="004F6386">
        <w:rPr>
          <w:spacing w:val="1"/>
        </w:rPr>
        <w:t xml:space="preserve"> </w:t>
      </w:r>
      <w:r w:rsidRPr="004F6386">
        <w:t>DE</w:t>
      </w:r>
      <w:r w:rsidRPr="004F6386">
        <w:rPr>
          <w:spacing w:val="1"/>
        </w:rPr>
        <w:t xml:space="preserve"> </w:t>
      </w:r>
      <w:r w:rsidRPr="004F6386">
        <w:t>CONTROL</w:t>
      </w:r>
      <w:r w:rsidRPr="004F6386">
        <w:rPr>
          <w:spacing w:val="1"/>
        </w:rPr>
        <w:t xml:space="preserve"> </w:t>
      </w:r>
      <w:r w:rsidRPr="004F6386">
        <w:t>FISCAL</w:t>
      </w:r>
      <w:r w:rsidRPr="004F6386">
        <w:rPr>
          <w:spacing w:val="1"/>
        </w:rPr>
        <w:t xml:space="preserve"> </w:t>
      </w:r>
      <w:r w:rsidRPr="004F6386">
        <w:t>INTERNO</w:t>
      </w:r>
      <w:r w:rsidRPr="004F6386">
        <w:rPr>
          <w:spacing w:val="1"/>
        </w:rPr>
        <w:t xml:space="preserve"> </w:t>
      </w:r>
      <w:r>
        <w:rPr>
          <w:spacing w:val="1"/>
        </w:rPr>
        <w:t xml:space="preserve">Y FENECIMIENTO DE LA CUENTA FISCAL </w:t>
      </w:r>
      <w:r w:rsidRPr="004F6386">
        <w:t>POR</w:t>
      </w:r>
      <w:r w:rsidRPr="004F6386">
        <w:rPr>
          <w:spacing w:val="1"/>
        </w:rPr>
        <w:t xml:space="preserve"> </w:t>
      </w:r>
      <w:r w:rsidRPr="004F6386">
        <w:t>PARTE</w:t>
      </w:r>
      <w:r w:rsidRPr="004F6386">
        <w:rPr>
          <w:spacing w:val="1"/>
        </w:rPr>
        <w:t xml:space="preserve"> </w:t>
      </w:r>
      <w:r w:rsidRPr="004F6386">
        <w:t>DE</w:t>
      </w:r>
      <w:r w:rsidRPr="004F6386">
        <w:rPr>
          <w:spacing w:val="1"/>
        </w:rPr>
        <w:t xml:space="preserve"> </w:t>
      </w:r>
      <w:r w:rsidRPr="004F6386">
        <w:t>LA</w:t>
      </w:r>
      <w:r w:rsidRPr="004F6386">
        <w:rPr>
          <w:spacing w:val="1"/>
        </w:rPr>
        <w:t xml:space="preserve"> </w:t>
      </w:r>
      <w:r w:rsidRPr="004F6386">
        <w:t xml:space="preserve">CONTRALORÍA GENERAL DE LA REPÚBLICA </w:t>
      </w:r>
      <w:r>
        <w:rPr>
          <w:spacing w:val="-11"/>
        </w:rPr>
        <w:t xml:space="preserve">VIGENCIA FISCAL </w:t>
      </w:r>
      <w:r>
        <w:rPr>
          <w:spacing w:val="-1"/>
        </w:rPr>
        <w:t>2022</w:t>
      </w:r>
      <w:r w:rsidRPr="004F6386">
        <w:t>.</w:t>
      </w:r>
    </w:p>
    <w:p w:rsidR="00DD24A3" w:rsidRDefault="00DD24A3" w:rsidP="00DD24A3">
      <w:pPr>
        <w:pStyle w:val="Standard"/>
        <w:ind w:left="-284" w:right="-285"/>
        <w:jc w:val="both"/>
        <w:rPr>
          <w:rFonts w:ascii="Arial" w:hAnsi="Arial" w:cs="Arial"/>
          <w:b/>
          <w:sz w:val="32"/>
          <w:szCs w:val="32"/>
        </w:rPr>
      </w:pPr>
      <w:r>
        <w:tab/>
      </w:r>
    </w:p>
    <w:tbl>
      <w:tblPr>
        <w:tblW w:w="10769"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2120"/>
        <w:gridCol w:w="2209"/>
        <w:gridCol w:w="2230"/>
        <w:gridCol w:w="2302"/>
      </w:tblGrid>
      <w:tr w:rsidR="00DD24A3" w:rsidRPr="00B67877" w:rsidTr="00DD24A3">
        <w:tc>
          <w:tcPr>
            <w:tcW w:w="1908" w:type="dxa"/>
          </w:tcPr>
          <w:p w:rsidR="00DD24A3" w:rsidRPr="00B67877" w:rsidRDefault="00DD24A3" w:rsidP="00DD24A3">
            <w:pPr>
              <w:pStyle w:val="Standard"/>
              <w:ind w:left="171" w:right="-107"/>
              <w:rPr>
                <w:rFonts w:ascii="Arial" w:hAnsi="Arial" w:cs="Arial"/>
                <w:b/>
                <w:sz w:val="22"/>
                <w:szCs w:val="22"/>
              </w:rPr>
            </w:pPr>
            <w:r w:rsidRPr="00B67877">
              <w:rPr>
                <w:rFonts w:ascii="Arial" w:hAnsi="Arial" w:cs="Arial"/>
                <w:b/>
                <w:sz w:val="22"/>
                <w:szCs w:val="22"/>
              </w:rPr>
              <w:t xml:space="preserve">     VIGENCIA</w:t>
            </w:r>
          </w:p>
          <w:p w:rsidR="00DD24A3" w:rsidRPr="00B67877" w:rsidRDefault="00DD24A3" w:rsidP="00DD24A3">
            <w:pPr>
              <w:pStyle w:val="Standard"/>
              <w:ind w:left="171" w:right="-285"/>
              <w:rPr>
                <w:rFonts w:ascii="Arial" w:hAnsi="Arial" w:cs="Arial"/>
                <w:b/>
                <w:sz w:val="22"/>
                <w:szCs w:val="22"/>
              </w:rPr>
            </w:pPr>
            <w:r w:rsidRPr="00B67877">
              <w:rPr>
                <w:rFonts w:ascii="Arial" w:hAnsi="Arial" w:cs="Arial"/>
                <w:b/>
                <w:sz w:val="22"/>
                <w:szCs w:val="22"/>
              </w:rPr>
              <w:t xml:space="preserve">       FISCAL</w:t>
            </w:r>
          </w:p>
        </w:tc>
        <w:tc>
          <w:tcPr>
            <w:tcW w:w="2120" w:type="dxa"/>
          </w:tcPr>
          <w:p w:rsidR="00DD24A3" w:rsidRPr="00B67877" w:rsidRDefault="00DD24A3" w:rsidP="00DD24A3">
            <w:pPr>
              <w:pStyle w:val="Standard"/>
              <w:ind w:left="178" w:right="-285"/>
              <w:rPr>
                <w:rFonts w:ascii="Arial" w:hAnsi="Arial" w:cs="Arial"/>
                <w:b/>
                <w:sz w:val="22"/>
                <w:szCs w:val="22"/>
              </w:rPr>
            </w:pPr>
            <w:r w:rsidRPr="00B67877">
              <w:rPr>
                <w:rFonts w:ascii="Arial" w:hAnsi="Arial" w:cs="Arial"/>
                <w:b/>
                <w:sz w:val="22"/>
                <w:szCs w:val="22"/>
              </w:rPr>
              <w:t xml:space="preserve">      OPINIÓN</w:t>
            </w:r>
          </w:p>
          <w:p w:rsidR="00DD24A3" w:rsidRPr="00B67877" w:rsidRDefault="00DD24A3" w:rsidP="00DD24A3">
            <w:pPr>
              <w:pStyle w:val="Standard"/>
              <w:ind w:left="178" w:right="-285"/>
              <w:rPr>
                <w:rFonts w:ascii="Arial" w:hAnsi="Arial" w:cs="Arial"/>
                <w:b/>
                <w:sz w:val="22"/>
                <w:szCs w:val="22"/>
              </w:rPr>
            </w:pPr>
            <w:r w:rsidRPr="00B67877">
              <w:rPr>
                <w:rFonts w:ascii="Arial" w:hAnsi="Arial" w:cs="Arial"/>
                <w:b/>
                <w:sz w:val="22"/>
                <w:szCs w:val="22"/>
              </w:rPr>
              <w:t xml:space="preserve">    CONTABLE</w:t>
            </w:r>
          </w:p>
          <w:p w:rsidR="00DD24A3" w:rsidRPr="00B67877" w:rsidRDefault="00DD24A3" w:rsidP="00DD24A3">
            <w:pPr>
              <w:pStyle w:val="Standard"/>
              <w:ind w:left="170" w:right="-285"/>
              <w:rPr>
                <w:rFonts w:ascii="Arial" w:hAnsi="Arial" w:cs="Arial"/>
                <w:b/>
                <w:sz w:val="22"/>
                <w:szCs w:val="22"/>
              </w:rPr>
            </w:pPr>
            <w:r w:rsidRPr="00B67877">
              <w:rPr>
                <w:rFonts w:ascii="Arial" w:hAnsi="Arial" w:cs="Arial"/>
                <w:b/>
                <w:sz w:val="22"/>
                <w:szCs w:val="22"/>
              </w:rPr>
              <w:t xml:space="preserve">         CGR</w:t>
            </w:r>
          </w:p>
        </w:tc>
        <w:tc>
          <w:tcPr>
            <w:tcW w:w="2209" w:type="dxa"/>
          </w:tcPr>
          <w:p w:rsidR="00DD24A3" w:rsidRPr="00B67877" w:rsidRDefault="00DD24A3" w:rsidP="00DD24A3">
            <w:pPr>
              <w:pStyle w:val="Standard"/>
              <w:ind w:left="-171" w:right="-285"/>
              <w:rPr>
                <w:rFonts w:ascii="Arial" w:hAnsi="Arial" w:cs="Arial"/>
                <w:b/>
                <w:sz w:val="22"/>
                <w:szCs w:val="22"/>
              </w:rPr>
            </w:pPr>
            <w:r w:rsidRPr="00B67877">
              <w:rPr>
                <w:rFonts w:ascii="Arial" w:hAnsi="Arial" w:cs="Arial"/>
                <w:b/>
                <w:sz w:val="22"/>
                <w:szCs w:val="22"/>
              </w:rPr>
              <w:t xml:space="preserve">        CALIFICACIÓN</w:t>
            </w:r>
          </w:p>
          <w:p w:rsidR="00DD24A3" w:rsidRPr="00B67877" w:rsidRDefault="00DD24A3" w:rsidP="00DD24A3">
            <w:pPr>
              <w:pStyle w:val="Standard"/>
              <w:ind w:left="-262" w:right="-252"/>
              <w:rPr>
                <w:rFonts w:ascii="Arial" w:hAnsi="Arial" w:cs="Arial"/>
                <w:b/>
                <w:sz w:val="22"/>
                <w:szCs w:val="22"/>
              </w:rPr>
            </w:pPr>
            <w:r w:rsidRPr="00B67877">
              <w:rPr>
                <w:rFonts w:ascii="Arial" w:hAnsi="Arial" w:cs="Arial"/>
                <w:b/>
                <w:sz w:val="22"/>
                <w:szCs w:val="22"/>
              </w:rPr>
              <w:t xml:space="preserve">      CONTROL FISCAL</w:t>
            </w:r>
          </w:p>
          <w:p w:rsidR="00DD24A3" w:rsidRPr="00B67877" w:rsidRDefault="00DD24A3" w:rsidP="00DD24A3">
            <w:pPr>
              <w:pStyle w:val="Standard"/>
              <w:ind w:left="164" w:right="-285"/>
              <w:rPr>
                <w:rFonts w:ascii="Arial" w:hAnsi="Arial" w:cs="Arial"/>
                <w:b/>
                <w:sz w:val="22"/>
                <w:szCs w:val="22"/>
              </w:rPr>
            </w:pPr>
            <w:r w:rsidRPr="00B67877">
              <w:rPr>
                <w:rFonts w:ascii="Arial" w:hAnsi="Arial" w:cs="Arial"/>
                <w:b/>
                <w:sz w:val="22"/>
                <w:szCs w:val="22"/>
              </w:rPr>
              <w:t xml:space="preserve">      INTERNO</w:t>
            </w:r>
          </w:p>
          <w:p w:rsidR="00DD24A3" w:rsidRPr="00B67877" w:rsidRDefault="00DD24A3" w:rsidP="00DD24A3">
            <w:pPr>
              <w:pStyle w:val="Standard"/>
              <w:ind w:left="164" w:right="-285"/>
              <w:rPr>
                <w:rFonts w:ascii="Arial" w:hAnsi="Arial" w:cs="Arial"/>
                <w:b/>
                <w:sz w:val="22"/>
                <w:szCs w:val="22"/>
              </w:rPr>
            </w:pPr>
            <w:r w:rsidRPr="00B67877">
              <w:rPr>
                <w:rFonts w:ascii="Arial" w:hAnsi="Arial" w:cs="Arial"/>
                <w:b/>
                <w:sz w:val="22"/>
                <w:szCs w:val="22"/>
              </w:rPr>
              <w:t xml:space="preserve">          CGR</w:t>
            </w:r>
          </w:p>
          <w:p w:rsidR="00DD24A3" w:rsidRPr="00B67877" w:rsidRDefault="00DD24A3" w:rsidP="00DD24A3">
            <w:pPr>
              <w:pStyle w:val="Standard"/>
              <w:ind w:right="-285"/>
              <w:rPr>
                <w:rFonts w:ascii="Arial" w:hAnsi="Arial" w:cs="Arial"/>
                <w:b/>
                <w:sz w:val="22"/>
                <w:szCs w:val="22"/>
              </w:rPr>
            </w:pPr>
          </w:p>
        </w:tc>
        <w:tc>
          <w:tcPr>
            <w:tcW w:w="2230" w:type="dxa"/>
          </w:tcPr>
          <w:p w:rsidR="00DD24A3" w:rsidRPr="00B67877" w:rsidRDefault="00DD24A3" w:rsidP="00DD24A3">
            <w:pPr>
              <w:pStyle w:val="Standard"/>
              <w:ind w:left="455" w:right="-285"/>
              <w:rPr>
                <w:rFonts w:ascii="Arial" w:hAnsi="Arial" w:cs="Arial"/>
                <w:b/>
                <w:sz w:val="22"/>
                <w:szCs w:val="22"/>
              </w:rPr>
            </w:pPr>
            <w:r w:rsidRPr="00B67877">
              <w:rPr>
                <w:rFonts w:ascii="Arial" w:hAnsi="Arial" w:cs="Arial"/>
                <w:b/>
                <w:sz w:val="22"/>
                <w:szCs w:val="22"/>
              </w:rPr>
              <w:t xml:space="preserve"> OPINIÓN</w:t>
            </w:r>
          </w:p>
          <w:p w:rsidR="00DD24A3" w:rsidRPr="00B67877" w:rsidRDefault="00DD24A3" w:rsidP="00DD24A3">
            <w:pPr>
              <w:pStyle w:val="Standard"/>
              <w:ind w:left="106" w:right="-285"/>
              <w:rPr>
                <w:rFonts w:ascii="Arial" w:hAnsi="Arial" w:cs="Arial"/>
                <w:b/>
                <w:sz w:val="22"/>
                <w:szCs w:val="22"/>
              </w:rPr>
            </w:pPr>
            <w:r w:rsidRPr="00B67877">
              <w:rPr>
                <w:rFonts w:ascii="Arial" w:hAnsi="Arial" w:cs="Arial"/>
                <w:b/>
                <w:sz w:val="22"/>
                <w:szCs w:val="22"/>
              </w:rPr>
              <w:t xml:space="preserve"> PRESUPUESTAL</w:t>
            </w:r>
          </w:p>
          <w:p w:rsidR="00DD24A3" w:rsidRPr="00B67877" w:rsidRDefault="00DD24A3" w:rsidP="00DD24A3">
            <w:pPr>
              <w:pStyle w:val="Standard"/>
              <w:ind w:left="171" w:right="-285"/>
              <w:rPr>
                <w:rFonts w:ascii="Arial" w:hAnsi="Arial" w:cs="Arial"/>
                <w:b/>
                <w:sz w:val="22"/>
                <w:szCs w:val="22"/>
              </w:rPr>
            </w:pPr>
            <w:r w:rsidRPr="00B67877">
              <w:rPr>
                <w:rFonts w:ascii="Arial" w:hAnsi="Arial" w:cs="Arial"/>
                <w:b/>
                <w:sz w:val="22"/>
                <w:szCs w:val="22"/>
              </w:rPr>
              <w:t xml:space="preserve">           CGR</w:t>
            </w:r>
          </w:p>
        </w:tc>
        <w:tc>
          <w:tcPr>
            <w:tcW w:w="2302" w:type="dxa"/>
          </w:tcPr>
          <w:p w:rsidR="00DD24A3" w:rsidRPr="00B67877" w:rsidRDefault="00DD24A3" w:rsidP="00DD24A3">
            <w:pPr>
              <w:pStyle w:val="Standard"/>
              <w:ind w:left="-358" w:right="-285"/>
              <w:jc w:val="center"/>
              <w:rPr>
                <w:rFonts w:ascii="Arial" w:hAnsi="Arial" w:cs="Arial"/>
                <w:b/>
                <w:sz w:val="22"/>
                <w:szCs w:val="22"/>
              </w:rPr>
            </w:pPr>
            <w:r w:rsidRPr="00B67877">
              <w:rPr>
                <w:rFonts w:ascii="Arial" w:hAnsi="Arial" w:cs="Arial"/>
                <w:b/>
                <w:sz w:val="22"/>
                <w:szCs w:val="22"/>
              </w:rPr>
              <w:t>FENECIMIENTO</w:t>
            </w:r>
          </w:p>
          <w:p w:rsidR="00DD24A3" w:rsidRPr="00B67877" w:rsidRDefault="00DD24A3" w:rsidP="00DD24A3">
            <w:pPr>
              <w:pStyle w:val="Standard"/>
              <w:ind w:left="351" w:right="-285"/>
              <w:rPr>
                <w:rFonts w:ascii="Arial" w:hAnsi="Arial" w:cs="Arial"/>
                <w:b/>
                <w:sz w:val="22"/>
                <w:szCs w:val="22"/>
              </w:rPr>
            </w:pPr>
            <w:r w:rsidRPr="00B67877">
              <w:rPr>
                <w:rFonts w:ascii="Arial" w:hAnsi="Arial" w:cs="Arial"/>
                <w:b/>
                <w:sz w:val="22"/>
                <w:szCs w:val="22"/>
              </w:rPr>
              <w:t xml:space="preserve">    DE LA </w:t>
            </w:r>
          </w:p>
          <w:p w:rsidR="00DD24A3" w:rsidRPr="00B67877" w:rsidRDefault="00DD24A3" w:rsidP="00DD24A3">
            <w:pPr>
              <w:pStyle w:val="Standard"/>
              <w:ind w:left="68" w:right="-285"/>
              <w:rPr>
                <w:rFonts w:ascii="Arial" w:hAnsi="Arial" w:cs="Arial"/>
                <w:b/>
                <w:sz w:val="22"/>
                <w:szCs w:val="22"/>
              </w:rPr>
            </w:pPr>
            <w:r w:rsidRPr="00B67877">
              <w:rPr>
                <w:rFonts w:ascii="Arial" w:hAnsi="Arial" w:cs="Arial"/>
                <w:b/>
                <w:sz w:val="22"/>
                <w:szCs w:val="22"/>
              </w:rPr>
              <w:t>CUENTA FISCAL</w:t>
            </w:r>
          </w:p>
          <w:p w:rsidR="00DD24A3" w:rsidRPr="00B67877" w:rsidRDefault="00DD24A3" w:rsidP="00DD24A3">
            <w:pPr>
              <w:pStyle w:val="Standard"/>
              <w:ind w:left="-358" w:right="-285"/>
              <w:jc w:val="center"/>
              <w:rPr>
                <w:rFonts w:ascii="Arial" w:hAnsi="Arial" w:cs="Arial"/>
                <w:b/>
                <w:sz w:val="22"/>
                <w:szCs w:val="22"/>
              </w:rPr>
            </w:pPr>
            <w:r w:rsidRPr="00B67877">
              <w:rPr>
                <w:rFonts w:ascii="Arial" w:hAnsi="Arial" w:cs="Arial"/>
                <w:b/>
                <w:sz w:val="22"/>
                <w:szCs w:val="22"/>
              </w:rPr>
              <w:t>CGR</w:t>
            </w:r>
          </w:p>
        </w:tc>
      </w:tr>
      <w:tr w:rsidR="00DD24A3" w:rsidRPr="00B67877" w:rsidTr="00DD24A3">
        <w:tc>
          <w:tcPr>
            <w:tcW w:w="1908" w:type="dxa"/>
          </w:tcPr>
          <w:p w:rsidR="00DD24A3" w:rsidRPr="00B67877" w:rsidRDefault="00DD24A3" w:rsidP="00DD24A3">
            <w:pPr>
              <w:pStyle w:val="Standard"/>
              <w:ind w:left="597" w:right="-219"/>
              <w:rPr>
                <w:rFonts w:ascii="Arial" w:hAnsi="Arial" w:cs="Arial"/>
                <w:b/>
                <w:sz w:val="22"/>
                <w:szCs w:val="22"/>
              </w:rPr>
            </w:pPr>
            <w:r w:rsidRPr="00B67877">
              <w:rPr>
                <w:rFonts w:ascii="Arial" w:hAnsi="Arial" w:cs="Arial"/>
                <w:b/>
                <w:sz w:val="22"/>
                <w:szCs w:val="22"/>
              </w:rPr>
              <w:t>2022</w:t>
            </w:r>
          </w:p>
        </w:tc>
        <w:tc>
          <w:tcPr>
            <w:tcW w:w="2120" w:type="dxa"/>
          </w:tcPr>
          <w:p w:rsidR="00DD24A3" w:rsidRPr="00B67877" w:rsidRDefault="00DD24A3" w:rsidP="00DD24A3">
            <w:pPr>
              <w:pStyle w:val="Standard"/>
              <w:tabs>
                <w:tab w:val="left" w:pos="420"/>
                <w:tab w:val="center" w:pos="974"/>
              </w:tabs>
              <w:ind w:left="388" w:right="-285"/>
              <w:rPr>
                <w:rFonts w:ascii="Arial" w:hAnsi="Arial" w:cs="Arial"/>
                <w:b/>
                <w:sz w:val="22"/>
                <w:szCs w:val="22"/>
              </w:rPr>
            </w:pPr>
            <w:r>
              <w:rPr>
                <w:rFonts w:ascii="Arial" w:hAnsi="Arial" w:cs="Arial"/>
                <w:b/>
                <w:sz w:val="22"/>
                <w:szCs w:val="22"/>
              </w:rPr>
              <w:t>NEGATIVA</w:t>
            </w:r>
          </w:p>
        </w:tc>
        <w:tc>
          <w:tcPr>
            <w:tcW w:w="2209" w:type="dxa"/>
          </w:tcPr>
          <w:p w:rsidR="00DD24A3" w:rsidRPr="00B67877" w:rsidRDefault="00DD24A3" w:rsidP="00DD24A3">
            <w:pPr>
              <w:pStyle w:val="Standard"/>
              <w:ind w:left="164" w:right="38"/>
              <w:jc w:val="center"/>
              <w:rPr>
                <w:rFonts w:ascii="Arial" w:hAnsi="Arial" w:cs="Arial"/>
                <w:b/>
                <w:sz w:val="22"/>
                <w:szCs w:val="22"/>
              </w:rPr>
            </w:pPr>
            <w:r>
              <w:rPr>
                <w:rFonts w:ascii="Arial" w:hAnsi="Arial" w:cs="Arial"/>
                <w:b/>
                <w:sz w:val="22"/>
                <w:szCs w:val="22"/>
              </w:rPr>
              <w:t>INEFICIENTE</w:t>
            </w:r>
          </w:p>
        </w:tc>
        <w:tc>
          <w:tcPr>
            <w:tcW w:w="2230" w:type="dxa"/>
          </w:tcPr>
          <w:p w:rsidR="00DD24A3" w:rsidRPr="00B67877" w:rsidRDefault="00DD24A3" w:rsidP="00DD24A3">
            <w:pPr>
              <w:pStyle w:val="Standard"/>
              <w:ind w:left="-247" w:right="-285"/>
              <w:jc w:val="center"/>
              <w:rPr>
                <w:rFonts w:ascii="Arial" w:hAnsi="Arial" w:cs="Arial"/>
                <w:b/>
                <w:sz w:val="22"/>
                <w:szCs w:val="22"/>
              </w:rPr>
            </w:pPr>
          </w:p>
        </w:tc>
        <w:tc>
          <w:tcPr>
            <w:tcW w:w="2302" w:type="dxa"/>
          </w:tcPr>
          <w:p w:rsidR="00DD24A3" w:rsidRDefault="00DD24A3" w:rsidP="00DD24A3">
            <w:pPr>
              <w:pStyle w:val="Standard"/>
              <w:ind w:left="-214" w:right="-285"/>
              <w:jc w:val="center"/>
              <w:rPr>
                <w:rFonts w:ascii="Arial" w:hAnsi="Arial" w:cs="Arial"/>
                <w:b/>
                <w:sz w:val="22"/>
                <w:szCs w:val="22"/>
              </w:rPr>
            </w:pPr>
            <w:r>
              <w:rPr>
                <w:rFonts w:ascii="Arial" w:hAnsi="Arial" w:cs="Arial"/>
                <w:b/>
                <w:sz w:val="22"/>
                <w:szCs w:val="22"/>
              </w:rPr>
              <w:t>NO SE</w:t>
            </w:r>
          </w:p>
          <w:p w:rsidR="00DD24A3" w:rsidRPr="00B67877" w:rsidRDefault="00DD24A3" w:rsidP="00DD24A3">
            <w:pPr>
              <w:pStyle w:val="Standard"/>
              <w:ind w:left="-214" w:right="-285"/>
              <w:jc w:val="center"/>
              <w:rPr>
                <w:rFonts w:ascii="Arial" w:hAnsi="Arial" w:cs="Arial"/>
                <w:b/>
                <w:sz w:val="22"/>
                <w:szCs w:val="22"/>
              </w:rPr>
            </w:pPr>
            <w:r>
              <w:rPr>
                <w:rFonts w:ascii="Arial" w:hAnsi="Arial" w:cs="Arial"/>
                <w:b/>
                <w:sz w:val="22"/>
                <w:szCs w:val="22"/>
              </w:rPr>
              <w:t>FENECE</w:t>
            </w:r>
          </w:p>
        </w:tc>
      </w:tr>
    </w:tbl>
    <w:p w:rsidR="00DD24A3" w:rsidRPr="004F6386" w:rsidRDefault="00DD24A3" w:rsidP="00DD24A3">
      <w:pPr>
        <w:pStyle w:val="Standard"/>
        <w:ind w:left="-284" w:right="-285"/>
        <w:jc w:val="both"/>
        <w:rPr>
          <w:rFonts w:ascii="Arial" w:hAnsi="Arial" w:cs="Arial"/>
          <w:color w:val="FF0000"/>
          <w:sz w:val="16"/>
          <w:szCs w:val="16"/>
        </w:rPr>
      </w:pPr>
      <w:r>
        <w:rPr>
          <w:rFonts w:ascii="Arial" w:hAnsi="Arial" w:cs="Arial"/>
          <w:sz w:val="16"/>
          <w:szCs w:val="16"/>
        </w:rPr>
        <w:t>Fuente: CGR.</w:t>
      </w:r>
    </w:p>
    <w:p w:rsidR="00DD24A3" w:rsidRPr="004F6386" w:rsidRDefault="00DD24A3" w:rsidP="00DD24A3">
      <w:pPr>
        <w:pStyle w:val="Textoindependiente"/>
        <w:ind w:left="1004"/>
        <w:rPr>
          <w:rFonts w:ascii="Arial" w:hAnsi="Arial" w:cs="Arial"/>
          <w:b/>
          <w:sz w:val="20"/>
        </w:rPr>
      </w:pPr>
    </w:p>
    <w:p w:rsidR="00DD24A3" w:rsidRDefault="00DD24A3" w:rsidP="00DD24A3">
      <w:pPr>
        <w:pStyle w:val="Ttulo1"/>
        <w:spacing w:before="135" w:line="276" w:lineRule="auto"/>
        <w:ind w:left="-284" w:right="-518"/>
      </w:pPr>
      <w:r w:rsidRPr="004F6386">
        <w:t>“</w:t>
      </w:r>
      <w:r>
        <w:t>2</w:t>
      </w:r>
      <w:r w:rsidRPr="004F6386">
        <w:t>.-</w:t>
      </w:r>
      <w:r w:rsidRPr="004F6386">
        <w:rPr>
          <w:spacing w:val="1"/>
        </w:rPr>
        <w:t xml:space="preserve"> </w:t>
      </w:r>
      <w:r w:rsidRPr="004F6386">
        <w:t>INFORME</w:t>
      </w:r>
      <w:r w:rsidRPr="004F6386">
        <w:rPr>
          <w:spacing w:val="1"/>
        </w:rPr>
        <w:t xml:space="preserve"> </w:t>
      </w:r>
      <w:r w:rsidRPr="004F6386">
        <w:t>DE</w:t>
      </w:r>
      <w:r w:rsidRPr="004F6386">
        <w:rPr>
          <w:spacing w:val="1"/>
        </w:rPr>
        <w:t xml:space="preserve"> </w:t>
      </w:r>
      <w:r w:rsidRPr="004F6386">
        <w:t>AUDITORÍA</w:t>
      </w:r>
      <w:r w:rsidRPr="004F6386">
        <w:rPr>
          <w:spacing w:val="1"/>
        </w:rPr>
        <w:t xml:space="preserve"> </w:t>
      </w:r>
      <w:r w:rsidRPr="004F6386">
        <w:t>DEL</w:t>
      </w:r>
      <w:r w:rsidRPr="004F6386">
        <w:rPr>
          <w:spacing w:val="1"/>
        </w:rPr>
        <w:t xml:space="preserve"> </w:t>
      </w:r>
      <w:r w:rsidRPr="004F6386">
        <w:t>ESTADO</w:t>
      </w:r>
      <w:r w:rsidRPr="004F6386">
        <w:rPr>
          <w:spacing w:val="1"/>
        </w:rPr>
        <w:t xml:space="preserve"> </w:t>
      </w:r>
      <w:r w:rsidRPr="004F6386">
        <w:t>DE</w:t>
      </w:r>
      <w:r w:rsidRPr="004F6386">
        <w:rPr>
          <w:spacing w:val="1"/>
        </w:rPr>
        <w:t xml:space="preserve"> </w:t>
      </w:r>
      <w:r w:rsidRPr="004F6386">
        <w:t>SITUACIÓN</w:t>
      </w:r>
      <w:r w:rsidRPr="004F6386">
        <w:rPr>
          <w:spacing w:val="1"/>
        </w:rPr>
        <w:t xml:space="preserve"> </w:t>
      </w:r>
      <w:r w:rsidRPr="004F6386">
        <w:t>FINANCIERA</w:t>
      </w:r>
      <w:r w:rsidRPr="004F6386">
        <w:rPr>
          <w:spacing w:val="1"/>
        </w:rPr>
        <w:t xml:space="preserve"> </w:t>
      </w:r>
      <w:r w:rsidRPr="004F6386">
        <w:t>(BALANCE</w:t>
      </w:r>
      <w:r w:rsidRPr="004F6386">
        <w:rPr>
          <w:spacing w:val="1"/>
        </w:rPr>
        <w:t xml:space="preserve"> </w:t>
      </w:r>
      <w:r w:rsidRPr="004F6386">
        <w:t>GENERAL)</w:t>
      </w:r>
      <w:r w:rsidRPr="004F6386">
        <w:rPr>
          <w:spacing w:val="1"/>
        </w:rPr>
        <w:t xml:space="preserve"> </w:t>
      </w:r>
      <w:r w:rsidRPr="004F6386">
        <w:t>DE</w:t>
      </w:r>
      <w:r w:rsidRPr="004F6386">
        <w:rPr>
          <w:spacing w:val="1"/>
        </w:rPr>
        <w:t xml:space="preserve"> </w:t>
      </w:r>
      <w:r w:rsidRPr="004F6386">
        <w:t>LA</w:t>
      </w:r>
      <w:r w:rsidRPr="004F6386">
        <w:rPr>
          <w:spacing w:val="1"/>
        </w:rPr>
        <w:t xml:space="preserve"> </w:t>
      </w:r>
      <w:r w:rsidRPr="004F6386">
        <w:t>NACIÓN</w:t>
      </w:r>
      <w:r w:rsidRPr="004F6386">
        <w:rPr>
          <w:spacing w:val="1"/>
        </w:rPr>
        <w:t xml:space="preserve"> </w:t>
      </w:r>
      <w:r w:rsidRPr="004F6386">
        <w:t>VIGENCIA</w:t>
      </w:r>
      <w:r w:rsidRPr="004F6386">
        <w:rPr>
          <w:spacing w:val="1"/>
        </w:rPr>
        <w:t xml:space="preserve"> </w:t>
      </w:r>
      <w:r w:rsidRPr="004F6386">
        <w:t>FISCAL</w:t>
      </w:r>
      <w:r w:rsidRPr="004F6386">
        <w:rPr>
          <w:spacing w:val="-1"/>
        </w:rPr>
        <w:t xml:space="preserve"> </w:t>
      </w:r>
      <w:r w:rsidRPr="004F6386">
        <w:t>202</w:t>
      </w:r>
      <w:r>
        <w:t>2</w:t>
      </w:r>
      <w:r w:rsidRPr="004F6386">
        <w:t>.</w:t>
      </w:r>
      <w:r w:rsidRPr="004F6386">
        <w:rPr>
          <w:spacing w:val="1"/>
        </w:rPr>
        <w:t xml:space="preserve"> </w:t>
      </w:r>
      <w:r w:rsidRPr="004F6386">
        <w:t>Fuente:</w:t>
      </w:r>
      <w:r w:rsidRPr="004F6386">
        <w:rPr>
          <w:spacing w:val="-2"/>
        </w:rPr>
        <w:t xml:space="preserve"> </w:t>
      </w:r>
      <w:r w:rsidRPr="004F6386">
        <w:t>C</w:t>
      </w:r>
      <w:r>
        <w:t xml:space="preserve">ontraloría </w:t>
      </w:r>
      <w:r w:rsidRPr="004F6386">
        <w:t>G</w:t>
      </w:r>
      <w:r>
        <w:t xml:space="preserve">eneral de la </w:t>
      </w:r>
      <w:r w:rsidRPr="004F6386">
        <w:t>R</w:t>
      </w:r>
      <w:r>
        <w:t>epública</w:t>
      </w:r>
      <w:r w:rsidRPr="004F6386">
        <w:t>.</w:t>
      </w:r>
    </w:p>
    <w:p w:rsidR="00DD24A3" w:rsidRDefault="00DD24A3" w:rsidP="00DD24A3">
      <w:pPr>
        <w:pStyle w:val="Textoindependiente"/>
        <w:spacing w:line="237" w:lineRule="auto"/>
        <w:ind w:left="-284" w:right="-518"/>
        <w:jc w:val="both"/>
        <w:rPr>
          <w:rFonts w:ascii="Arial" w:hAnsi="Arial" w:cs="Arial"/>
          <w:b/>
          <w:sz w:val="28"/>
          <w:szCs w:val="28"/>
        </w:rPr>
      </w:pPr>
    </w:p>
    <w:p w:rsidR="00DD24A3" w:rsidRPr="00E04FEB" w:rsidRDefault="00DD24A3" w:rsidP="00DD24A3">
      <w:pPr>
        <w:pStyle w:val="Textoindependiente"/>
        <w:spacing w:line="237" w:lineRule="auto"/>
        <w:ind w:left="-284" w:right="-518"/>
        <w:jc w:val="both"/>
        <w:rPr>
          <w:rFonts w:ascii="Arial" w:hAnsi="Arial" w:cs="Arial"/>
          <w:b/>
          <w:sz w:val="28"/>
          <w:szCs w:val="28"/>
        </w:rPr>
      </w:pPr>
      <w:r>
        <w:rPr>
          <w:rFonts w:ascii="Arial" w:hAnsi="Arial" w:cs="Arial"/>
          <w:b/>
          <w:sz w:val="28"/>
          <w:szCs w:val="28"/>
        </w:rPr>
        <w:t>21</w:t>
      </w:r>
      <w:r w:rsidRPr="00E04FEB">
        <w:rPr>
          <w:rFonts w:ascii="Arial" w:hAnsi="Arial" w:cs="Arial"/>
          <w:b/>
          <w:sz w:val="28"/>
          <w:szCs w:val="28"/>
        </w:rPr>
        <w:t>.- Fondo para la Rehabilitación, Inversión Social y Lucha contra el Crimen Organizado (FRISCO).</w:t>
      </w:r>
    </w:p>
    <w:p w:rsidR="00DD24A3" w:rsidRPr="00E04FEB" w:rsidRDefault="00DD24A3" w:rsidP="00DD24A3">
      <w:pPr>
        <w:pStyle w:val="Textoindependiente"/>
        <w:spacing w:line="237" w:lineRule="auto"/>
        <w:ind w:left="-284" w:right="-518"/>
        <w:jc w:val="both"/>
        <w:rPr>
          <w:rFonts w:ascii="Arial" w:hAnsi="Arial" w:cs="Arial"/>
          <w:b/>
          <w:sz w:val="28"/>
          <w:szCs w:val="28"/>
        </w:rPr>
      </w:pPr>
    </w:p>
    <w:p w:rsidR="00DD24A3" w:rsidRDefault="00DD24A3" w:rsidP="00DD24A3">
      <w:pPr>
        <w:pStyle w:val="Textoindependiente"/>
        <w:spacing w:line="237" w:lineRule="auto"/>
        <w:ind w:left="-284" w:right="-518"/>
        <w:jc w:val="both"/>
        <w:rPr>
          <w:rFonts w:ascii="Arial" w:hAnsi="Arial" w:cs="Arial"/>
          <w:b/>
          <w:spacing w:val="-2"/>
          <w:sz w:val="28"/>
          <w:szCs w:val="28"/>
        </w:rPr>
      </w:pPr>
      <w:r w:rsidRPr="00E04FEB">
        <w:rPr>
          <w:rFonts w:ascii="Arial" w:hAnsi="Arial" w:cs="Arial"/>
          <w:b/>
          <w:sz w:val="28"/>
          <w:szCs w:val="28"/>
        </w:rPr>
        <w:t>Opinión</w:t>
      </w:r>
      <w:r w:rsidRPr="00E04FEB">
        <w:rPr>
          <w:rFonts w:ascii="Arial" w:hAnsi="Arial" w:cs="Arial"/>
          <w:b/>
          <w:spacing w:val="-3"/>
          <w:sz w:val="28"/>
          <w:szCs w:val="28"/>
        </w:rPr>
        <w:t xml:space="preserve"> </w:t>
      </w:r>
      <w:r w:rsidRPr="00E04FEB">
        <w:rPr>
          <w:rFonts w:ascii="Arial" w:hAnsi="Arial" w:cs="Arial"/>
          <w:b/>
          <w:sz w:val="28"/>
          <w:szCs w:val="28"/>
        </w:rPr>
        <w:t>contable:</w:t>
      </w:r>
      <w:r w:rsidRPr="00E04FEB">
        <w:rPr>
          <w:rFonts w:ascii="Arial" w:hAnsi="Arial" w:cs="Arial"/>
          <w:b/>
          <w:spacing w:val="-3"/>
          <w:sz w:val="28"/>
          <w:szCs w:val="28"/>
        </w:rPr>
        <w:t xml:space="preserve"> </w:t>
      </w:r>
      <w:r w:rsidRPr="00E04FEB">
        <w:rPr>
          <w:rFonts w:ascii="Arial" w:hAnsi="Arial" w:cs="Arial"/>
          <w:b/>
          <w:sz w:val="28"/>
          <w:szCs w:val="28"/>
        </w:rPr>
        <w:t>adversa</w:t>
      </w:r>
      <w:r w:rsidRPr="00E04FEB">
        <w:rPr>
          <w:rFonts w:ascii="Arial" w:hAnsi="Arial" w:cs="Arial"/>
          <w:b/>
          <w:spacing w:val="-3"/>
          <w:sz w:val="28"/>
          <w:szCs w:val="28"/>
        </w:rPr>
        <w:t xml:space="preserve"> </w:t>
      </w:r>
      <w:r w:rsidRPr="00E04FEB">
        <w:rPr>
          <w:rFonts w:ascii="Arial" w:hAnsi="Arial" w:cs="Arial"/>
          <w:b/>
          <w:sz w:val="28"/>
          <w:szCs w:val="28"/>
        </w:rPr>
        <w:t>o</w:t>
      </w:r>
      <w:r w:rsidRPr="00E04FEB">
        <w:rPr>
          <w:rFonts w:ascii="Arial" w:hAnsi="Arial" w:cs="Arial"/>
          <w:b/>
          <w:spacing w:val="-2"/>
          <w:sz w:val="28"/>
          <w:szCs w:val="28"/>
        </w:rPr>
        <w:t xml:space="preserve"> negativa.</w:t>
      </w:r>
    </w:p>
    <w:p w:rsidR="00DD24A3" w:rsidRDefault="00DD24A3" w:rsidP="00DD24A3">
      <w:pPr>
        <w:pStyle w:val="Textoindependiente"/>
        <w:spacing w:line="237" w:lineRule="auto"/>
        <w:ind w:left="-284" w:right="-518"/>
        <w:jc w:val="both"/>
        <w:rPr>
          <w:rFonts w:ascii="Arial" w:hAnsi="Arial" w:cs="Arial"/>
          <w:b/>
          <w:spacing w:val="-2"/>
          <w:sz w:val="28"/>
          <w:szCs w:val="28"/>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b/>
          <w:spacing w:val="-2"/>
          <w:sz w:val="28"/>
          <w:szCs w:val="28"/>
        </w:rPr>
        <w:t>-</w:t>
      </w:r>
      <w:r w:rsidRPr="009F5A41">
        <w:rPr>
          <w:rFonts w:ascii="Arial" w:hAnsi="Arial" w:cs="Arial"/>
        </w:rPr>
        <w:t>Incorrección</w:t>
      </w:r>
      <w:r w:rsidRPr="009F5A41">
        <w:rPr>
          <w:rFonts w:ascii="Arial" w:hAnsi="Arial" w:cs="Arial"/>
          <w:spacing w:val="-16"/>
        </w:rPr>
        <w:t xml:space="preserve"> </w:t>
      </w:r>
      <w:r w:rsidRPr="009F5A41">
        <w:rPr>
          <w:rFonts w:ascii="Arial" w:hAnsi="Arial" w:cs="Arial"/>
        </w:rPr>
        <w:t>de</w:t>
      </w:r>
      <w:r w:rsidRPr="009F5A41">
        <w:rPr>
          <w:rFonts w:ascii="Arial" w:hAnsi="Arial" w:cs="Arial"/>
          <w:spacing w:val="-16"/>
        </w:rPr>
        <w:t xml:space="preserve"> </w:t>
      </w:r>
      <w:r w:rsidRPr="009F5A41">
        <w:rPr>
          <w:rFonts w:ascii="Arial" w:hAnsi="Arial" w:cs="Arial"/>
        </w:rPr>
        <w:t>cantidad</w:t>
      </w:r>
      <w:r w:rsidRPr="009F5A41">
        <w:rPr>
          <w:rFonts w:ascii="Arial" w:hAnsi="Arial" w:cs="Arial"/>
          <w:spacing w:val="-16"/>
        </w:rPr>
        <w:t xml:space="preserve"> </w:t>
      </w:r>
      <w:r w:rsidRPr="009F5A41">
        <w:rPr>
          <w:rFonts w:ascii="Arial" w:hAnsi="Arial" w:cs="Arial"/>
        </w:rPr>
        <w:t>en</w:t>
      </w:r>
      <w:r w:rsidRPr="009F5A41">
        <w:rPr>
          <w:rFonts w:ascii="Arial" w:hAnsi="Arial" w:cs="Arial"/>
          <w:spacing w:val="-16"/>
        </w:rPr>
        <w:t xml:space="preserve"> </w:t>
      </w:r>
      <w:r w:rsidRPr="009F5A41">
        <w:rPr>
          <w:rFonts w:ascii="Arial" w:hAnsi="Arial" w:cs="Arial"/>
        </w:rPr>
        <w:t>otras</w:t>
      </w:r>
      <w:r w:rsidRPr="009F5A41">
        <w:rPr>
          <w:rFonts w:ascii="Arial" w:hAnsi="Arial" w:cs="Arial"/>
          <w:spacing w:val="-16"/>
        </w:rPr>
        <w:t xml:space="preserve"> </w:t>
      </w:r>
      <w:r w:rsidRPr="009F5A41">
        <w:rPr>
          <w:rFonts w:ascii="Arial" w:hAnsi="Arial" w:cs="Arial"/>
        </w:rPr>
        <w:t>cuentas</w:t>
      </w:r>
      <w:r w:rsidRPr="009F5A41">
        <w:rPr>
          <w:rFonts w:ascii="Arial" w:hAnsi="Arial" w:cs="Arial"/>
          <w:spacing w:val="-16"/>
        </w:rPr>
        <w:t xml:space="preserve"> </w:t>
      </w:r>
      <w:r w:rsidRPr="009F5A41">
        <w:rPr>
          <w:rFonts w:ascii="Arial" w:hAnsi="Arial" w:cs="Arial"/>
        </w:rPr>
        <w:t>por</w:t>
      </w:r>
      <w:r w:rsidRPr="009F5A41">
        <w:rPr>
          <w:rFonts w:ascii="Arial" w:hAnsi="Arial" w:cs="Arial"/>
          <w:spacing w:val="-16"/>
        </w:rPr>
        <w:t xml:space="preserve"> </w:t>
      </w:r>
      <w:r w:rsidRPr="009F5A41">
        <w:rPr>
          <w:rFonts w:ascii="Arial" w:hAnsi="Arial" w:cs="Arial"/>
        </w:rPr>
        <w:t>cobrar</w:t>
      </w:r>
      <w:r w:rsidRPr="009F5A41">
        <w:rPr>
          <w:rFonts w:ascii="Arial" w:hAnsi="Arial" w:cs="Arial"/>
          <w:spacing w:val="-16"/>
        </w:rPr>
        <w:t xml:space="preserve"> </w:t>
      </w:r>
      <w:r w:rsidRPr="009F5A41">
        <w:rPr>
          <w:rFonts w:ascii="Arial" w:hAnsi="Arial" w:cs="Arial"/>
        </w:rPr>
        <w:t>de</w:t>
      </w:r>
      <w:r w:rsidRPr="009F5A41">
        <w:rPr>
          <w:rFonts w:ascii="Arial" w:hAnsi="Arial" w:cs="Arial"/>
          <w:spacing w:val="-16"/>
        </w:rPr>
        <w:t xml:space="preserve"> </w:t>
      </w:r>
      <w:r w:rsidRPr="009F5A41">
        <w:rPr>
          <w:rFonts w:ascii="Arial" w:hAnsi="Arial" w:cs="Arial"/>
        </w:rPr>
        <w:t>difícil</w:t>
      </w:r>
      <w:r w:rsidRPr="009F5A41">
        <w:rPr>
          <w:rFonts w:ascii="Arial" w:hAnsi="Arial" w:cs="Arial"/>
          <w:spacing w:val="-16"/>
        </w:rPr>
        <w:t xml:space="preserve"> </w:t>
      </w:r>
      <w:r w:rsidRPr="009F5A41">
        <w:rPr>
          <w:rFonts w:ascii="Arial" w:hAnsi="Arial" w:cs="Arial"/>
        </w:rPr>
        <w:t xml:space="preserve">recaudo por $10.572,1 millones, debido a 1.753 terceros con saldo crédito, </w:t>
      </w:r>
      <w:r w:rsidRPr="009F5A41">
        <w:rPr>
          <w:rFonts w:ascii="Arial" w:hAnsi="Arial" w:cs="Arial"/>
          <w:spacing w:val="-4"/>
        </w:rPr>
        <w:t>correspondientes</w:t>
      </w:r>
      <w:r w:rsidRPr="009F5A41">
        <w:rPr>
          <w:rFonts w:ascii="Arial" w:hAnsi="Arial" w:cs="Arial"/>
          <w:spacing w:val="-16"/>
        </w:rPr>
        <w:t xml:space="preserve"> </w:t>
      </w:r>
      <w:r w:rsidRPr="009F5A41">
        <w:rPr>
          <w:rFonts w:ascii="Arial" w:hAnsi="Arial" w:cs="Arial"/>
          <w:spacing w:val="-4"/>
        </w:rPr>
        <w:t>a</w:t>
      </w:r>
      <w:r w:rsidRPr="009F5A41">
        <w:rPr>
          <w:rFonts w:ascii="Arial" w:hAnsi="Arial" w:cs="Arial"/>
          <w:spacing w:val="-15"/>
        </w:rPr>
        <w:t xml:space="preserve"> </w:t>
      </w:r>
      <w:r w:rsidRPr="009F5A41">
        <w:rPr>
          <w:rFonts w:ascii="Arial" w:hAnsi="Arial" w:cs="Arial"/>
          <w:spacing w:val="-4"/>
        </w:rPr>
        <w:t>valores</w:t>
      </w:r>
      <w:r w:rsidRPr="009F5A41">
        <w:rPr>
          <w:rFonts w:ascii="Arial" w:hAnsi="Arial" w:cs="Arial"/>
          <w:spacing w:val="-15"/>
        </w:rPr>
        <w:t xml:space="preserve"> </w:t>
      </w:r>
      <w:r w:rsidRPr="009F5A41">
        <w:rPr>
          <w:rFonts w:ascii="Arial" w:hAnsi="Arial" w:cs="Arial"/>
          <w:spacing w:val="-4"/>
        </w:rPr>
        <w:t>pendientes</w:t>
      </w:r>
      <w:r w:rsidRPr="009F5A41">
        <w:rPr>
          <w:rFonts w:ascii="Arial" w:hAnsi="Arial" w:cs="Arial"/>
          <w:spacing w:val="-16"/>
        </w:rPr>
        <w:t xml:space="preserve"> </w:t>
      </w:r>
      <w:r w:rsidRPr="009F5A41">
        <w:rPr>
          <w:rFonts w:ascii="Arial" w:hAnsi="Arial" w:cs="Arial"/>
          <w:spacing w:val="-4"/>
        </w:rPr>
        <w:t>de</w:t>
      </w:r>
      <w:r w:rsidRPr="009F5A41">
        <w:rPr>
          <w:rFonts w:ascii="Arial" w:hAnsi="Arial" w:cs="Arial"/>
          <w:spacing w:val="-15"/>
        </w:rPr>
        <w:t xml:space="preserve"> </w:t>
      </w:r>
      <w:r w:rsidRPr="009F5A41">
        <w:rPr>
          <w:rFonts w:ascii="Arial" w:hAnsi="Arial" w:cs="Arial"/>
          <w:spacing w:val="-4"/>
        </w:rPr>
        <w:t>ajustes</w:t>
      </w:r>
      <w:r w:rsidRPr="009F5A41">
        <w:rPr>
          <w:rFonts w:ascii="Arial" w:hAnsi="Arial" w:cs="Arial"/>
          <w:spacing w:val="-16"/>
        </w:rPr>
        <w:t xml:space="preserve"> </w:t>
      </w:r>
      <w:r w:rsidRPr="009F5A41">
        <w:rPr>
          <w:rFonts w:ascii="Arial" w:hAnsi="Arial" w:cs="Arial"/>
          <w:spacing w:val="-4"/>
        </w:rPr>
        <w:t>al</w:t>
      </w:r>
      <w:r w:rsidRPr="009F5A41">
        <w:rPr>
          <w:rFonts w:ascii="Arial" w:hAnsi="Arial" w:cs="Arial"/>
          <w:spacing w:val="-15"/>
        </w:rPr>
        <w:t xml:space="preserve"> </w:t>
      </w:r>
      <w:r w:rsidRPr="009F5A41">
        <w:rPr>
          <w:rFonts w:ascii="Arial" w:hAnsi="Arial" w:cs="Arial"/>
          <w:spacing w:val="-4"/>
        </w:rPr>
        <w:t>estado</w:t>
      </w:r>
      <w:r w:rsidRPr="009F5A41">
        <w:rPr>
          <w:rFonts w:ascii="Arial" w:hAnsi="Arial" w:cs="Arial"/>
          <w:spacing w:val="-15"/>
        </w:rPr>
        <w:t xml:space="preserve"> </w:t>
      </w:r>
      <w:r w:rsidRPr="009F5A41">
        <w:rPr>
          <w:rFonts w:ascii="Arial" w:hAnsi="Arial" w:cs="Arial"/>
          <w:spacing w:val="-4"/>
        </w:rPr>
        <w:t>de</w:t>
      </w:r>
      <w:r w:rsidRPr="009F5A41">
        <w:rPr>
          <w:rFonts w:ascii="Arial" w:hAnsi="Arial" w:cs="Arial"/>
          <w:spacing w:val="-16"/>
        </w:rPr>
        <w:t xml:space="preserve"> </w:t>
      </w:r>
      <w:r w:rsidRPr="009F5A41">
        <w:rPr>
          <w:rFonts w:ascii="Arial" w:hAnsi="Arial" w:cs="Arial"/>
          <w:spacing w:val="-4"/>
        </w:rPr>
        <w:t>cuenta</w:t>
      </w:r>
      <w:r w:rsidRPr="009F5A41">
        <w:rPr>
          <w:rFonts w:ascii="Arial" w:hAnsi="Arial" w:cs="Arial"/>
          <w:spacing w:val="-15"/>
        </w:rPr>
        <w:t xml:space="preserve"> </w:t>
      </w:r>
      <w:r w:rsidRPr="009F5A41">
        <w:rPr>
          <w:rFonts w:ascii="Arial" w:hAnsi="Arial" w:cs="Arial"/>
          <w:spacing w:val="-4"/>
        </w:rPr>
        <w:t xml:space="preserve">de </w:t>
      </w:r>
      <w:r w:rsidRPr="009F5A41">
        <w:rPr>
          <w:rFonts w:ascii="Arial" w:hAnsi="Arial" w:cs="Arial"/>
        </w:rPr>
        <w:t>arrendatarios,</w:t>
      </w:r>
      <w:r w:rsidRPr="009F5A41">
        <w:rPr>
          <w:rFonts w:ascii="Arial" w:hAnsi="Arial" w:cs="Arial"/>
          <w:spacing w:val="-17"/>
        </w:rPr>
        <w:t xml:space="preserve"> </w:t>
      </w:r>
      <w:r w:rsidRPr="009F5A41">
        <w:rPr>
          <w:rFonts w:ascii="Arial" w:hAnsi="Arial" w:cs="Arial"/>
        </w:rPr>
        <w:t>identificados</w:t>
      </w:r>
      <w:r w:rsidRPr="009F5A41">
        <w:rPr>
          <w:rFonts w:ascii="Arial" w:hAnsi="Arial" w:cs="Arial"/>
          <w:spacing w:val="-17"/>
        </w:rPr>
        <w:t xml:space="preserve"> </w:t>
      </w:r>
      <w:r w:rsidRPr="009F5A41">
        <w:rPr>
          <w:rFonts w:ascii="Arial" w:hAnsi="Arial" w:cs="Arial"/>
        </w:rPr>
        <w:t>en</w:t>
      </w:r>
      <w:r w:rsidRPr="009F5A41">
        <w:rPr>
          <w:rFonts w:ascii="Arial" w:hAnsi="Arial" w:cs="Arial"/>
          <w:spacing w:val="-17"/>
        </w:rPr>
        <w:t xml:space="preserve"> </w:t>
      </w:r>
      <w:r w:rsidRPr="009F5A41">
        <w:rPr>
          <w:rFonts w:ascii="Arial" w:hAnsi="Arial" w:cs="Arial"/>
        </w:rPr>
        <w:t>el</w:t>
      </w:r>
      <w:r w:rsidRPr="009F5A41">
        <w:rPr>
          <w:rFonts w:ascii="Arial" w:hAnsi="Arial" w:cs="Arial"/>
          <w:spacing w:val="-17"/>
        </w:rPr>
        <w:t xml:space="preserve"> </w:t>
      </w:r>
      <w:r w:rsidRPr="009F5A41">
        <w:rPr>
          <w:rFonts w:ascii="Arial" w:hAnsi="Arial" w:cs="Arial"/>
        </w:rPr>
        <w:t>aplicativo</w:t>
      </w:r>
      <w:r w:rsidRPr="009F5A41">
        <w:rPr>
          <w:rFonts w:ascii="Arial" w:hAnsi="Arial" w:cs="Arial"/>
          <w:spacing w:val="-17"/>
        </w:rPr>
        <w:t xml:space="preserve"> </w:t>
      </w:r>
      <w:r w:rsidRPr="009F5A41">
        <w:rPr>
          <w:rFonts w:ascii="Arial" w:hAnsi="Arial" w:cs="Arial"/>
        </w:rPr>
        <w:t>SIGMA,</w:t>
      </w:r>
      <w:r w:rsidRPr="009F5A41">
        <w:rPr>
          <w:rFonts w:ascii="Arial" w:hAnsi="Arial" w:cs="Arial"/>
          <w:spacing w:val="-17"/>
        </w:rPr>
        <w:t xml:space="preserve"> </w:t>
      </w:r>
      <w:r w:rsidRPr="009F5A41">
        <w:rPr>
          <w:rFonts w:ascii="Arial" w:hAnsi="Arial" w:cs="Arial"/>
        </w:rPr>
        <w:t>el</w:t>
      </w:r>
      <w:r w:rsidRPr="009F5A41">
        <w:rPr>
          <w:rFonts w:ascii="Arial" w:hAnsi="Arial" w:cs="Arial"/>
          <w:spacing w:val="-17"/>
        </w:rPr>
        <w:t xml:space="preserve"> </w:t>
      </w:r>
      <w:r w:rsidRPr="009F5A41">
        <w:rPr>
          <w:rFonts w:ascii="Arial" w:hAnsi="Arial" w:cs="Arial"/>
        </w:rPr>
        <w:t>cual</w:t>
      </w:r>
      <w:r w:rsidRPr="009F5A41">
        <w:rPr>
          <w:rFonts w:ascii="Arial" w:hAnsi="Arial" w:cs="Arial"/>
          <w:spacing w:val="-17"/>
        </w:rPr>
        <w:t xml:space="preserve"> </w:t>
      </w:r>
      <w:r w:rsidRPr="009F5A41">
        <w:rPr>
          <w:rFonts w:ascii="Arial" w:hAnsi="Arial" w:cs="Arial"/>
        </w:rPr>
        <w:t>es</w:t>
      </w:r>
      <w:r w:rsidRPr="009F5A41">
        <w:rPr>
          <w:rFonts w:ascii="Arial" w:hAnsi="Arial" w:cs="Arial"/>
          <w:spacing w:val="-17"/>
        </w:rPr>
        <w:t xml:space="preserve"> </w:t>
      </w:r>
      <w:r w:rsidRPr="009F5A41">
        <w:rPr>
          <w:rFonts w:ascii="Arial" w:hAnsi="Arial" w:cs="Arial"/>
        </w:rPr>
        <w:t>la</w:t>
      </w:r>
      <w:r w:rsidRPr="009F5A41">
        <w:rPr>
          <w:rFonts w:ascii="Arial" w:hAnsi="Arial" w:cs="Arial"/>
          <w:spacing w:val="-17"/>
        </w:rPr>
        <w:t xml:space="preserve"> </w:t>
      </w:r>
      <w:r w:rsidRPr="009F5A41">
        <w:rPr>
          <w:rFonts w:ascii="Arial" w:hAnsi="Arial" w:cs="Arial"/>
        </w:rPr>
        <w:t>fuente para el registro contable, contraviniendo lo establecido en Manual de políticas</w:t>
      </w:r>
      <w:r w:rsidRPr="009F5A41">
        <w:rPr>
          <w:rFonts w:ascii="Arial" w:hAnsi="Arial" w:cs="Arial"/>
          <w:spacing w:val="-14"/>
        </w:rPr>
        <w:t xml:space="preserve"> </w:t>
      </w:r>
      <w:r w:rsidRPr="009F5A41">
        <w:rPr>
          <w:rFonts w:ascii="Arial" w:hAnsi="Arial" w:cs="Arial"/>
        </w:rPr>
        <w:t>y</w:t>
      </w:r>
      <w:r w:rsidRPr="009F5A41">
        <w:rPr>
          <w:rFonts w:ascii="Arial" w:hAnsi="Arial" w:cs="Arial"/>
          <w:spacing w:val="-14"/>
        </w:rPr>
        <w:t xml:space="preserve"> </w:t>
      </w:r>
      <w:r w:rsidRPr="009F5A41">
        <w:rPr>
          <w:rFonts w:ascii="Arial" w:hAnsi="Arial" w:cs="Arial"/>
        </w:rPr>
        <w:t>procedimientos</w:t>
      </w:r>
      <w:r w:rsidRPr="009F5A41">
        <w:rPr>
          <w:rFonts w:ascii="Arial" w:hAnsi="Arial" w:cs="Arial"/>
          <w:spacing w:val="-14"/>
        </w:rPr>
        <w:t xml:space="preserve"> </w:t>
      </w:r>
      <w:r w:rsidRPr="009F5A41">
        <w:rPr>
          <w:rFonts w:ascii="Arial" w:hAnsi="Arial" w:cs="Arial"/>
        </w:rPr>
        <w:t>contables</w:t>
      </w:r>
      <w:r w:rsidRPr="009F5A41">
        <w:rPr>
          <w:rFonts w:ascii="Arial" w:hAnsi="Arial" w:cs="Arial"/>
          <w:spacing w:val="-14"/>
        </w:rPr>
        <w:t xml:space="preserve"> </w:t>
      </w:r>
      <w:r w:rsidRPr="009F5A41">
        <w:rPr>
          <w:rFonts w:ascii="Arial" w:hAnsi="Arial" w:cs="Arial"/>
        </w:rPr>
        <w:t>para</w:t>
      </w:r>
      <w:r w:rsidRPr="009F5A41">
        <w:rPr>
          <w:rFonts w:ascii="Arial" w:hAnsi="Arial" w:cs="Arial"/>
          <w:spacing w:val="-14"/>
        </w:rPr>
        <w:t xml:space="preserve"> </w:t>
      </w:r>
      <w:r w:rsidRPr="009F5A41">
        <w:rPr>
          <w:rFonts w:ascii="Arial" w:hAnsi="Arial" w:cs="Arial"/>
        </w:rPr>
        <w:t>Fondo</w:t>
      </w:r>
      <w:r w:rsidRPr="009F5A41">
        <w:rPr>
          <w:rFonts w:ascii="Arial" w:hAnsi="Arial" w:cs="Arial"/>
          <w:spacing w:val="-14"/>
        </w:rPr>
        <w:t xml:space="preserve"> </w:t>
      </w:r>
      <w:r w:rsidRPr="009F5A41">
        <w:rPr>
          <w:rFonts w:ascii="Arial" w:hAnsi="Arial" w:cs="Arial"/>
        </w:rPr>
        <w:t>para</w:t>
      </w:r>
      <w:r w:rsidRPr="009F5A41">
        <w:rPr>
          <w:rFonts w:ascii="Arial" w:hAnsi="Arial" w:cs="Arial"/>
          <w:spacing w:val="-14"/>
        </w:rPr>
        <w:t xml:space="preserve"> </w:t>
      </w:r>
      <w:r w:rsidRPr="009F5A41">
        <w:rPr>
          <w:rFonts w:ascii="Arial" w:hAnsi="Arial" w:cs="Arial"/>
        </w:rPr>
        <w:t>la</w:t>
      </w:r>
      <w:r w:rsidRPr="009F5A41">
        <w:rPr>
          <w:rFonts w:ascii="Arial" w:hAnsi="Arial" w:cs="Arial"/>
          <w:spacing w:val="-14"/>
        </w:rPr>
        <w:t xml:space="preserve"> </w:t>
      </w:r>
      <w:r w:rsidRPr="009F5A41">
        <w:rPr>
          <w:rFonts w:ascii="Arial" w:hAnsi="Arial" w:cs="Arial"/>
        </w:rPr>
        <w:t>Rehabilitación y Lucha contra el Crimen Organizado (FRISCO), numeral 10.1.5.1.;, la</w:t>
      </w:r>
      <w:r w:rsidRPr="009F5A41">
        <w:rPr>
          <w:rFonts w:ascii="Arial" w:hAnsi="Arial" w:cs="Arial"/>
          <w:spacing w:val="33"/>
        </w:rPr>
        <w:t xml:space="preserve"> </w:t>
      </w:r>
      <w:r w:rsidRPr="009F5A41">
        <w:rPr>
          <w:rFonts w:ascii="Arial" w:hAnsi="Arial" w:cs="Arial"/>
        </w:rPr>
        <w:t>Resolución</w:t>
      </w:r>
      <w:r w:rsidRPr="009F5A41">
        <w:rPr>
          <w:rFonts w:ascii="Arial" w:hAnsi="Arial" w:cs="Arial"/>
          <w:spacing w:val="33"/>
        </w:rPr>
        <w:t xml:space="preserve"> </w:t>
      </w:r>
      <w:r w:rsidRPr="009F5A41">
        <w:rPr>
          <w:rFonts w:ascii="Arial" w:hAnsi="Arial" w:cs="Arial"/>
        </w:rPr>
        <w:t>533</w:t>
      </w:r>
      <w:r w:rsidRPr="009F5A41">
        <w:rPr>
          <w:rFonts w:ascii="Arial" w:hAnsi="Arial" w:cs="Arial"/>
          <w:spacing w:val="32"/>
        </w:rPr>
        <w:t xml:space="preserve"> </w:t>
      </w:r>
      <w:r w:rsidRPr="009F5A41">
        <w:rPr>
          <w:rFonts w:ascii="Arial" w:hAnsi="Arial" w:cs="Arial"/>
        </w:rPr>
        <w:t>del</w:t>
      </w:r>
      <w:r w:rsidRPr="009F5A41">
        <w:rPr>
          <w:rFonts w:ascii="Arial" w:hAnsi="Arial" w:cs="Arial"/>
          <w:spacing w:val="33"/>
        </w:rPr>
        <w:t xml:space="preserve"> </w:t>
      </w:r>
      <w:r w:rsidRPr="009F5A41">
        <w:rPr>
          <w:rFonts w:ascii="Arial" w:hAnsi="Arial" w:cs="Arial"/>
        </w:rPr>
        <w:t>8</w:t>
      </w:r>
      <w:r w:rsidRPr="009F5A41">
        <w:rPr>
          <w:rFonts w:ascii="Arial" w:hAnsi="Arial" w:cs="Arial"/>
          <w:spacing w:val="33"/>
        </w:rPr>
        <w:t xml:space="preserve"> </w:t>
      </w:r>
      <w:r w:rsidRPr="009F5A41">
        <w:rPr>
          <w:rFonts w:ascii="Arial" w:hAnsi="Arial" w:cs="Arial"/>
        </w:rPr>
        <w:t>de</w:t>
      </w:r>
      <w:r w:rsidRPr="009F5A41">
        <w:rPr>
          <w:rFonts w:ascii="Arial" w:hAnsi="Arial" w:cs="Arial"/>
          <w:spacing w:val="33"/>
        </w:rPr>
        <w:t xml:space="preserve"> </w:t>
      </w:r>
      <w:r w:rsidRPr="009F5A41">
        <w:rPr>
          <w:rFonts w:ascii="Arial" w:hAnsi="Arial" w:cs="Arial"/>
        </w:rPr>
        <w:t>octubre</w:t>
      </w:r>
      <w:r w:rsidRPr="009F5A41">
        <w:rPr>
          <w:rFonts w:ascii="Arial" w:hAnsi="Arial" w:cs="Arial"/>
          <w:spacing w:val="32"/>
        </w:rPr>
        <w:t xml:space="preserve"> </w:t>
      </w:r>
      <w:r w:rsidRPr="009F5A41">
        <w:rPr>
          <w:rFonts w:ascii="Arial" w:hAnsi="Arial" w:cs="Arial"/>
        </w:rPr>
        <w:t>de</w:t>
      </w:r>
      <w:r w:rsidRPr="009F5A41">
        <w:rPr>
          <w:rFonts w:ascii="Arial" w:hAnsi="Arial" w:cs="Arial"/>
          <w:spacing w:val="33"/>
        </w:rPr>
        <w:t xml:space="preserve"> </w:t>
      </w:r>
      <w:r w:rsidRPr="009F5A41">
        <w:rPr>
          <w:rFonts w:ascii="Arial" w:hAnsi="Arial" w:cs="Arial"/>
        </w:rPr>
        <w:t>2015</w:t>
      </w:r>
      <w:r w:rsidRPr="009F5A41">
        <w:rPr>
          <w:rFonts w:ascii="Arial" w:hAnsi="Arial" w:cs="Arial"/>
          <w:spacing w:val="32"/>
        </w:rPr>
        <w:t xml:space="preserve"> </w:t>
      </w:r>
      <w:r w:rsidRPr="009F5A41">
        <w:rPr>
          <w:rFonts w:ascii="Arial" w:hAnsi="Arial" w:cs="Arial"/>
        </w:rPr>
        <w:t>y</w:t>
      </w:r>
      <w:r w:rsidRPr="009F5A41">
        <w:rPr>
          <w:rFonts w:ascii="Arial" w:hAnsi="Arial" w:cs="Arial"/>
          <w:spacing w:val="33"/>
        </w:rPr>
        <w:t xml:space="preserve"> </w:t>
      </w:r>
      <w:r w:rsidRPr="009F5A41">
        <w:rPr>
          <w:rFonts w:ascii="Arial" w:hAnsi="Arial" w:cs="Arial"/>
        </w:rPr>
        <w:t>el</w:t>
      </w:r>
      <w:r w:rsidRPr="009F5A41">
        <w:rPr>
          <w:rFonts w:ascii="Arial" w:hAnsi="Arial" w:cs="Arial"/>
          <w:spacing w:val="33"/>
        </w:rPr>
        <w:t xml:space="preserve"> </w:t>
      </w:r>
      <w:r w:rsidRPr="009F5A41">
        <w:rPr>
          <w:rFonts w:ascii="Arial" w:hAnsi="Arial" w:cs="Arial"/>
        </w:rPr>
        <w:t>Catálogo</w:t>
      </w:r>
      <w:r w:rsidRPr="009F5A41">
        <w:rPr>
          <w:rFonts w:ascii="Arial" w:hAnsi="Arial" w:cs="Arial"/>
          <w:spacing w:val="33"/>
        </w:rPr>
        <w:t xml:space="preserve"> </w:t>
      </w:r>
      <w:r w:rsidRPr="009F5A41">
        <w:rPr>
          <w:rFonts w:ascii="Arial" w:hAnsi="Arial" w:cs="Arial"/>
        </w:rPr>
        <w:t>General de Cuentas en el Marco normativo para entidades de gobierno, lo cual</w:t>
      </w:r>
      <w:r w:rsidRPr="009F5A41">
        <w:rPr>
          <w:rFonts w:ascii="Arial" w:hAnsi="Arial" w:cs="Arial"/>
          <w:spacing w:val="-6"/>
        </w:rPr>
        <w:t xml:space="preserve"> </w:t>
      </w:r>
      <w:r w:rsidRPr="009F5A41">
        <w:rPr>
          <w:rFonts w:ascii="Arial" w:hAnsi="Arial" w:cs="Arial"/>
        </w:rPr>
        <w:t>generó</w:t>
      </w:r>
      <w:r w:rsidRPr="009F5A41">
        <w:rPr>
          <w:rFonts w:ascii="Arial" w:hAnsi="Arial" w:cs="Arial"/>
          <w:spacing w:val="-6"/>
        </w:rPr>
        <w:t xml:space="preserve"> </w:t>
      </w:r>
      <w:r w:rsidRPr="009F5A41">
        <w:rPr>
          <w:rFonts w:ascii="Arial" w:hAnsi="Arial" w:cs="Arial"/>
        </w:rPr>
        <w:t>subestimación</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las</w:t>
      </w:r>
      <w:r w:rsidRPr="009F5A41">
        <w:rPr>
          <w:rFonts w:ascii="Arial" w:hAnsi="Arial" w:cs="Arial"/>
          <w:spacing w:val="-6"/>
        </w:rPr>
        <w:t xml:space="preserve"> </w:t>
      </w:r>
      <w:r w:rsidRPr="009F5A41">
        <w:rPr>
          <w:rFonts w:ascii="Arial" w:hAnsi="Arial" w:cs="Arial"/>
        </w:rPr>
        <w:t>cuentas</w:t>
      </w:r>
      <w:r w:rsidRPr="009F5A41">
        <w:rPr>
          <w:rFonts w:ascii="Arial" w:hAnsi="Arial" w:cs="Arial"/>
          <w:spacing w:val="-6"/>
        </w:rPr>
        <w:t xml:space="preserve"> </w:t>
      </w:r>
      <w:r w:rsidRPr="009F5A41">
        <w:rPr>
          <w:rFonts w:ascii="Arial" w:hAnsi="Arial" w:cs="Arial"/>
        </w:rPr>
        <w:t>por</w:t>
      </w:r>
      <w:r w:rsidRPr="009F5A41">
        <w:rPr>
          <w:rFonts w:ascii="Arial" w:hAnsi="Arial" w:cs="Arial"/>
          <w:spacing w:val="-6"/>
        </w:rPr>
        <w:t xml:space="preserve"> </w:t>
      </w:r>
      <w:r w:rsidRPr="009F5A41">
        <w:rPr>
          <w:rFonts w:ascii="Arial" w:hAnsi="Arial" w:cs="Arial"/>
        </w:rPr>
        <w:t>cobrar</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difícil</w:t>
      </w:r>
      <w:r w:rsidRPr="009F5A41">
        <w:rPr>
          <w:rFonts w:ascii="Arial" w:hAnsi="Arial" w:cs="Arial"/>
          <w:spacing w:val="-6"/>
        </w:rPr>
        <w:t xml:space="preserve"> </w:t>
      </w:r>
      <w:r w:rsidRPr="009F5A41">
        <w:rPr>
          <w:rFonts w:ascii="Arial" w:hAnsi="Arial" w:cs="Arial"/>
        </w:rPr>
        <w:t>cobro</w:t>
      </w:r>
      <w:r w:rsidRPr="009F5A41">
        <w:rPr>
          <w:rFonts w:ascii="Arial" w:hAnsi="Arial" w:cs="Arial"/>
          <w:spacing w:val="-6"/>
        </w:rPr>
        <w:t xml:space="preserve"> </w:t>
      </w:r>
      <w:r w:rsidRPr="009F5A41">
        <w:rPr>
          <w:rFonts w:ascii="Arial" w:hAnsi="Arial" w:cs="Arial"/>
        </w:rPr>
        <w:t>y subestimación de los ingresos por arrendamientos de la entidad.</w:t>
      </w:r>
    </w:p>
    <w:p w:rsidR="00DD24A3" w:rsidRDefault="00DD24A3"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rPr>
        <w:t>Incorrección de cantidad en el deterioro acumulado de otras cuentas por</w:t>
      </w:r>
      <w:r w:rsidRPr="009F5A41">
        <w:rPr>
          <w:rFonts w:ascii="Arial" w:hAnsi="Arial" w:cs="Arial"/>
          <w:spacing w:val="-15"/>
        </w:rPr>
        <w:t xml:space="preserve"> </w:t>
      </w:r>
      <w:r w:rsidRPr="009F5A41">
        <w:rPr>
          <w:rFonts w:ascii="Arial" w:hAnsi="Arial" w:cs="Arial"/>
        </w:rPr>
        <w:t>cobrar</w:t>
      </w:r>
      <w:r w:rsidRPr="009F5A41">
        <w:rPr>
          <w:rFonts w:ascii="Arial" w:hAnsi="Arial" w:cs="Arial"/>
          <w:spacing w:val="-16"/>
        </w:rPr>
        <w:t xml:space="preserve"> </w:t>
      </w:r>
      <w:r w:rsidRPr="009F5A41">
        <w:rPr>
          <w:rFonts w:ascii="Arial" w:hAnsi="Arial" w:cs="Arial"/>
        </w:rPr>
        <w:t>por</w:t>
      </w:r>
      <w:r w:rsidRPr="009F5A41">
        <w:rPr>
          <w:rFonts w:ascii="Arial" w:hAnsi="Arial" w:cs="Arial"/>
          <w:spacing w:val="-15"/>
        </w:rPr>
        <w:t xml:space="preserve"> </w:t>
      </w:r>
      <w:r w:rsidRPr="009F5A41">
        <w:rPr>
          <w:rFonts w:ascii="Arial" w:hAnsi="Arial" w:cs="Arial"/>
        </w:rPr>
        <w:t>$9.905,7</w:t>
      </w:r>
      <w:r w:rsidRPr="009F5A41">
        <w:rPr>
          <w:rFonts w:ascii="Arial" w:hAnsi="Arial" w:cs="Arial"/>
          <w:spacing w:val="-16"/>
        </w:rPr>
        <w:t xml:space="preserve"> </w:t>
      </w:r>
      <w:r w:rsidRPr="009F5A41">
        <w:rPr>
          <w:rFonts w:ascii="Arial" w:hAnsi="Arial" w:cs="Arial"/>
        </w:rPr>
        <w:t>millones,</w:t>
      </w:r>
      <w:r w:rsidRPr="009F5A41">
        <w:rPr>
          <w:rFonts w:ascii="Arial" w:hAnsi="Arial" w:cs="Arial"/>
          <w:spacing w:val="-15"/>
        </w:rPr>
        <w:t xml:space="preserve"> </w:t>
      </w:r>
      <w:r w:rsidRPr="009F5A41">
        <w:rPr>
          <w:rFonts w:ascii="Arial" w:hAnsi="Arial" w:cs="Arial"/>
        </w:rPr>
        <w:t>debido</w:t>
      </w:r>
      <w:r w:rsidRPr="009F5A41">
        <w:rPr>
          <w:rFonts w:ascii="Arial" w:hAnsi="Arial" w:cs="Arial"/>
          <w:spacing w:val="-15"/>
        </w:rPr>
        <w:t xml:space="preserve"> </w:t>
      </w:r>
      <w:r w:rsidRPr="009F5A41">
        <w:rPr>
          <w:rFonts w:ascii="Arial" w:hAnsi="Arial" w:cs="Arial"/>
        </w:rPr>
        <w:t>a</w:t>
      </w:r>
      <w:r w:rsidRPr="009F5A41">
        <w:rPr>
          <w:rFonts w:ascii="Arial" w:hAnsi="Arial" w:cs="Arial"/>
          <w:spacing w:val="-15"/>
        </w:rPr>
        <w:t xml:space="preserve"> </w:t>
      </w:r>
      <w:r w:rsidRPr="009F5A41">
        <w:rPr>
          <w:rFonts w:ascii="Arial" w:hAnsi="Arial" w:cs="Arial"/>
        </w:rPr>
        <w:t>que</w:t>
      </w:r>
      <w:r w:rsidRPr="009F5A41">
        <w:rPr>
          <w:rFonts w:ascii="Arial" w:hAnsi="Arial" w:cs="Arial"/>
          <w:spacing w:val="-15"/>
        </w:rPr>
        <w:t xml:space="preserve"> </w:t>
      </w:r>
      <w:r w:rsidRPr="009F5A41">
        <w:rPr>
          <w:rFonts w:ascii="Arial" w:hAnsi="Arial" w:cs="Arial"/>
        </w:rPr>
        <w:t>el</w:t>
      </w:r>
      <w:r w:rsidRPr="009F5A41">
        <w:rPr>
          <w:rFonts w:ascii="Arial" w:hAnsi="Arial" w:cs="Arial"/>
          <w:spacing w:val="-15"/>
        </w:rPr>
        <w:t xml:space="preserve"> </w:t>
      </w:r>
      <w:r w:rsidRPr="009F5A41">
        <w:rPr>
          <w:rFonts w:ascii="Arial" w:hAnsi="Arial" w:cs="Arial"/>
        </w:rPr>
        <w:t>cálculo</w:t>
      </w:r>
      <w:r w:rsidRPr="009F5A41">
        <w:rPr>
          <w:rFonts w:ascii="Arial" w:hAnsi="Arial" w:cs="Arial"/>
          <w:spacing w:val="-15"/>
        </w:rPr>
        <w:t xml:space="preserve"> </w:t>
      </w:r>
      <w:r w:rsidRPr="009F5A41">
        <w:rPr>
          <w:rFonts w:ascii="Arial" w:hAnsi="Arial" w:cs="Arial"/>
        </w:rPr>
        <w:t>del</w:t>
      </w:r>
      <w:r w:rsidRPr="009F5A41">
        <w:rPr>
          <w:rFonts w:ascii="Arial" w:hAnsi="Arial" w:cs="Arial"/>
          <w:spacing w:val="-15"/>
        </w:rPr>
        <w:t xml:space="preserve"> </w:t>
      </w:r>
      <w:r w:rsidRPr="009F5A41">
        <w:rPr>
          <w:rFonts w:ascii="Arial" w:hAnsi="Arial" w:cs="Arial"/>
        </w:rPr>
        <w:t>deterioro para los arrendamientos se realizó el sobre la base de cartera total de la vigencia 2022 reportada por la gerencia comercial ($71.386,1 millones),</w:t>
      </w:r>
      <w:r w:rsidRPr="009F5A41">
        <w:rPr>
          <w:rFonts w:ascii="Arial" w:hAnsi="Arial" w:cs="Arial"/>
          <w:spacing w:val="38"/>
        </w:rPr>
        <w:t xml:space="preserve"> </w:t>
      </w:r>
      <w:r w:rsidRPr="009F5A41">
        <w:rPr>
          <w:rFonts w:ascii="Arial" w:hAnsi="Arial" w:cs="Arial"/>
        </w:rPr>
        <w:t>cuyo</w:t>
      </w:r>
      <w:r w:rsidRPr="009F5A41">
        <w:rPr>
          <w:rFonts w:ascii="Arial" w:hAnsi="Arial" w:cs="Arial"/>
          <w:spacing w:val="38"/>
        </w:rPr>
        <w:t xml:space="preserve"> </w:t>
      </w:r>
      <w:r w:rsidRPr="009F5A41">
        <w:rPr>
          <w:rFonts w:ascii="Arial" w:hAnsi="Arial" w:cs="Arial"/>
        </w:rPr>
        <w:t>valor</w:t>
      </w:r>
      <w:r w:rsidRPr="009F5A41">
        <w:rPr>
          <w:rFonts w:ascii="Arial" w:hAnsi="Arial" w:cs="Arial"/>
          <w:spacing w:val="38"/>
        </w:rPr>
        <w:t xml:space="preserve"> </w:t>
      </w:r>
      <w:r w:rsidRPr="009F5A41">
        <w:rPr>
          <w:rFonts w:ascii="Arial" w:hAnsi="Arial" w:cs="Arial"/>
        </w:rPr>
        <w:t>difiere</w:t>
      </w:r>
      <w:r w:rsidRPr="009F5A41">
        <w:rPr>
          <w:rFonts w:ascii="Arial" w:hAnsi="Arial" w:cs="Arial"/>
          <w:spacing w:val="38"/>
        </w:rPr>
        <w:t xml:space="preserve"> </w:t>
      </w:r>
      <w:r w:rsidRPr="009F5A41">
        <w:rPr>
          <w:rFonts w:ascii="Arial" w:hAnsi="Arial" w:cs="Arial"/>
        </w:rPr>
        <w:t>del</w:t>
      </w:r>
      <w:r w:rsidRPr="009F5A41">
        <w:rPr>
          <w:rFonts w:ascii="Arial" w:hAnsi="Arial" w:cs="Arial"/>
          <w:spacing w:val="38"/>
        </w:rPr>
        <w:t xml:space="preserve"> </w:t>
      </w:r>
      <w:r w:rsidRPr="009F5A41">
        <w:rPr>
          <w:rFonts w:ascii="Arial" w:hAnsi="Arial" w:cs="Arial"/>
        </w:rPr>
        <w:t>saldo</w:t>
      </w:r>
      <w:r w:rsidRPr="009F5A41">
        <w:rPr>
          <w:rFonts w:ascii="Arial" w:hAnsi="Arial" w:cs="Arial"/>
          <w:spacing w:val="38"/>
        </w:rPr>
        <w:t xml:space="preserve"> </w:t>
      </w:r>
      <w:r w:rsidRPr="009F5A41">
        <w:rPr>
          <w:rFonts w:ascii="Arial" w:hAnsi="Arial" w:cs="Arial"/>
        </w:rPr>
        <w:t>reportado</w:t>
      </w:r>
      <w:r w:rsidRPr="009F5A41">
        <w:rPr>
          <w:rFonts w:ascii="Arial" w:hAnsi="Arial" w:cs="Arial"/>
          <w:spacing w:val="38"/>
        </w:rPr>
        <w:t xml:space="preserve"> </w:t>
      </w:r>
      <w:r w:rsidRPr="009F5A41">
        <w:rPr>
          <w:rFonts w:ascii="Arial" w:hAnsi="Arial" w:cs="Arial"/>
        </w:rPr>
        <w:t>en</w:t>
      </w:r>
      <w:r w:rsidRPr="009F5A41">
        <w:rPr>
          <w:rFonts w:ascii="Arial" w:hAnsi="Arial" w:cs="Arial"/>
          <w:spacing w:val="38"/>
        </w:rPr>
        <w:t xml:space="preserve"> </w:t>
      </w:r>
      <w:r w:rsidRPr="009F5A41">
        <w:rPr>
          <w:rFonts w:ascii="Arial" w:hAnsi="Arial" w:cs="Arial"/>
        </w:rPr>
        <w:t>la</w:t>
      </w:r>
      <w:r w:rsidRPr="009F5A41">
        <w:rPr>
          <w:rFonts w:ascii="Arial" w:hAnsi="Arial" w:cs="Arial"/>
          <w:spacing w:val="38"/>
        </w:rPr>
        <w:t xml:space="preserve"> </w:t>
      </w:r>
      <w:r w:rsidRPr="009F5A41">
        <w:rPr>
          <w:rFonts w:ascii="Arial" w:hAnsi="Arial" w:cs="Arial"/>
        </w:rPr>
        <w:t>contabilidad al</w:t>
      </w:r>
      <w:r w:rsidRPr="009F5A41">
        <w:rPr>
          <w:rFonts w:ascii="Arial" w:hAnsi="Arial" w:cs="Arial"/>
          <w:spacing w:val="40"/>
        </w:rPr>
        <w:t xml:space="preserve"> </w:t>
      </w:r>
      <w:r w:rsidRPr="009F5A41">
        <w:rPr>
          <w:rFonts w:ascii="Arial" w:hAnsi="Arial" w:cs="Arial"/>
        </w:rPr>
        <w:t>mismo</w:t>
      </w:r>
      <w:r w:rsidRPr="009F5A41">
        <w:rPr>
          <w:rFonts w:ascii="Arial" w:hAnsi="Arial" w:cs="Arial"/>
          <w:spacing w:val="40"/>
        </w:rPr>
        <w:t xml:space="preserve"> </w:t>
      </w:r>
      <w:r w:rsidRPr="009F5A41">
        <w:rPr>
          <w:rFonts w:ascii="Arial" w:hAnsi="Arial" w:cs="Arial"/>
        </w:rPr>
        <w:t>corte</w:t>
      </w:r>
      <w:r w:rsidRPr="009F5A41">
        <w:rPr>
          <w:rFonts w:ascii="Arial" w:hAnsi="Arial" w:cs="Arial"/>
          <w:spacing w:val="40"/>
        </w:rPr>
        <w:t xml:space="preserve"> </w:t>
      </w:r>
      <w:r w:rsidRPr="009F5A41">
        <w:rPr>
          <w:rFonts w:ascii="Arial" w:hAnsi="Arial" w:cs="Arial"/>
        </w:rPr>
        <w:t>($61.930,4</w:t>
      </w:r>
      <w:r w:rsidRPr="009F5A41">
        <w:rPr>
          <w:rFonts w:ascii="Arial" w:hAnsi="Arial" w:cs="Arial"/>
          <w:spacing w:val="40"/>
        </w:rPr>
        <w:t xml:space="preserve"> </w:t>
      </w:r>
      <w:r w:rsidRPr="009F5A41">
        <w:rPr>
          <w:rFonts w:ascii="Arial" w:hAnsi="Arial" w:cs="Arial"/>
        </w:rPr>
        <w:t>millones).</w:t>
      </w:r>
      <w:r w:rsidRPr="009F5A41">
        <w:rPr>
          <w:rFonts w:ascii="Arial" w:hAnsi="Arial" w:cs="Arial"/>
          <w:spacing w:val="40"/>
        </w:rPr>
        <w:t xml:space="preserve"> </w:t>
      </w:r>
      <w:r w:rsidRPr="009F5A41">
        <w:rPr>
          <w:rFonts w:ascii="Arial" w:hAnsi="Arial" w:cs="Arial"/>
        </w:rPr>
        <w:t>Por</w:t>
      </w:r>
      <w:r w:rsidRPr="009F5A41">
        <w:rPr>
          <w:rFonts w:ascii="Arial" w:hAnsi="Arial" w:cs="Arial"/>
          <w:spacing w:val="40"/>
        </w:rPr>
        <w:t xml:space="preserve"> </w:t>
      </w:r>
      <w:r w:rsidRPr="009F5A41">
        <w:rPr>
          <w:rFonts w:ascii="Arial" w:hAnsi="Arial" w:cs="Arial"/>
        </w:rPr>
        <w:t>lo</w:t>
      </w:r>
      <w:r w:rsidRPr="009F5A41">
        <w:rPr>
          <w:rFonts w:ascii="Arial" w:hAnsi="Arial" w:cs="Arial"/>
          <w:spacing w:val="40"/>
        </w:rPr>
        <w:t xml:space="preserve"> </w:t>
      </w:r>
      <w:r w:rsidRPr="009F5A41">
        <w:rPr>
          <w:rFonts w:ascii="Arial" w:hAnsi="Arial" w:cs="Arial"/>
        </w:rPr>
        <w:t>tanto,</w:t>
      </w:r>
      <w:r w:rsidRPr="009F5A41">
        <w:rPr>
          <w:rFonts w:ascii="Arial" w:hAnsi="Arial" w:cs="Arial"/>
          <w:spacing w:val="40"/>
        </w:rPr>
        <w:t xml:space="preserve"> </w:t>
      </w:r>
      <w:r w:rsidRPr="009F5A41">
        <w:rPr>
          <w:rFonts w:ascii="Arial" w:hAnsi="Arial" w:cs="Arial"/>
        </w:rPr>
        <w:t>el</w:t>
      </w:r>
      <w:r w:rsidRPr="009F5A41">
        <w:rPr>
          <w:rFonts w:ascii="Arial" w:hAnsi="Arial" w:cs="Arial"/>
          <w:spacing w:val="40"/>
        </w:rPr>
        <w:t xml:space="preserve"> </w:t>
      </w:r>
      <w:r w:rsidRPr="009F5A41">
        <w:rPr>
          <w:rFonts w:ascii="Arial" w:hAnsi="Arial" w:cs="Arial"/>
        </w:rPr>
        <w:t>resultado</w:t>
      </w:r>
      <w:r w:rsidRPr="009F5A41">
        <w:rPr>
          <w:rFonts w:ascii="Arial" w:hAnsi="Arial" w:cs="Arial"/>
          <w:spacing w:val="40"/>
        </w:rPr>
        <w:t xml:space="preserve"> </w:t>
      </w:r>
      <w:r w:rsidRPr="009F5A41">
        <w:rPr>
          <w:rFonts w:ascii="Arial" w:hAnsi="Arial" w:cs="Arial"/>
        </w:rPr>
        <w:t>del deterioro arrojó un mayor valor, el cual fue registrado en la contabilidad,</w:t>
      </w:r>
      <w:r w:rsidRPr="009F5A41">
        <w:rPr>
          <w:rFonts w:ascii="Arial" w:hAnsi="Arial" w:cs="Arial"/>
          <w:spacing w:val="-6"/>
        </w:rPr>
        <w:t xml:space="preserve"> </w:t>
      </w:r>
      <w:r w:rsidRPr="009F5A41">
        <w:rPr>
          <w:rFonts w:ascii="Arial" w:hAnsi="Arial" w:cs="Arial"/>
        </w:rPr>
        <w:t>contraviniendo</w:t>
      </w:r>
      <w:r w:rsidRPr="009F5A41">
        <w:rPr>
          <w:rFonts w:ascii="Arial" w:hAnsi="Arial" w:cs="Arial"/>
          <w:spacing w:val="-7"/>
        </w:rPr>
        <w:t xml:space="preserve"> </w:t>
      </w:r>
      <w:r w:rsidRPr="009F5A41">
        <w:rPr>
          <w:rFonts w:ascii="Arial" w:hAnsi="Arial" w:cs="Arial"/>
        </w:rPr>
        <w:t>lo</w:t>
      </w:r>
      <w:r w:rsidRPr="009F5A41">
        <w:rPr>
          <w:rFonts w:ascii="Arial" w:hAnsi="Arial" w:cs="Arial"/>
          <w:spacing w:val="-6"/>
        </w:rPr>
        <w:t xml:space="preserve"> </w:t>
      </w:r>
      <w:r w:rsidRPr="009F5A41">
        <w:rPr>
          <w:rFonts w:ascii="Arial" w:hAnsi="Arial" w:cs="Arial"/>
        </w:rPr>
        <w:t>establecido</w:t>
      </w:r>
      <w:r w:rsidRPr="009F5A41">
        <w:rPr>
          <w:rFonts w:ascii="Arial" w:hAnsi="Arial" w:cs="Arial"/>
          <w:spacing w:val="-6"/>
        </w:rPr>
        <w:t xml:space="preserve"> </w:t>
      </w:r>
      <w:r w:rsidRPr="009F5A41">
        <w:rPr>
          <w:rFonts w:ascii="Arial" w:hAnsi="Arial" w:cs="Arial"/>
        </w:rPr>
        <w:t>en</w:t>
      </w:r>
      <w:r w:rsidRPr="009F5A41">
        <w:rPr>
          <w:rFonts w:ascii="Arial" w:hAnsi="Arial" w:cs="Arial"/>
          <w:spacing w:val="-6"/>
        </w:rPr>
        <w:t xml:space="preserve"> </w:t>
      </w:r>
      <w:r w:rsidRPr="009F5A41">
        <w:rPr>
          <w:rFonts w:ascii="Arial" w:hAnsi="Arial" w:cs="Arial"/>
        </w:rPr>
        <w:t>el</w:t>
      </w:r>
      <w:r w:rsidRPr="009F5A41">
        <w:rPr>
          <w:rFonts w:ascii="Arial" w:hAnsi="Arial" w:cs="Arial"/>
          <w:spacing w:val="-6"/>
        </w:rPr>
        <w:t xml:space="preserve"> </w:t>
      </w:r>
      <w:r w:rsidRPr="009F5A41">
        <w:rPr>
          <w:rFonts w:ascii="Arial" w:hAnsi="Arial" w:cs="Arial"/>
        </w:rPr>
        <w:t>Manual</w:t>
      </w:r>
      <w:r w:rsidRPr="009F5A41">
        <w:rPr>
          <w:rFonts w:ascii="Arial" w:hAnsi="Arial" w:cs="Arial"/>
          <w:spacing w:val="-7"/>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políticas</w:t>
      </w:r>
      <w:r w:rsidRPr="009F5A41">
        <w:rPr>
          <w:rFonts w:ascii="Arial" w:hAnsi="Arial" w:cs="Arial"/>
          <w:spacing w:val="-6"/>
        </w:rPr>
        <w:t xml:space="preserve"> </w:t>
      </w:r>
      <w:r w:rsidRPr="009F5A41">
        <w:rPr>
          <w:rFonts w:ascii="Arial" w:hAnsi="Arial" w:cs="Arial"/>
        </w:rPr>
        <w:t>y procedimientos</w:t>
      </w:r>
      <w:r w:rsidRPr="009F5A41">
        <w:rPr>
          <w:rFonts w:ascii="Arial" w:hAnsi="Arial" w:cs="Arial"/>
          <w:spacing w:val="-15"/>
        </w:rPr>
        <w:t xml:space="preserve"> </w:t>
      </w:r>
      <w:r w:rsidRPr="009F5A41">
        <w:rPr>
          <w:rFonts w:ascii="Arial" w:hAnsi="Arial" w:cs="Arial"/>
        </w:rPr>
        <w:t>contables</w:t>
      </w:r>
      <w:r w:rsidRPr="009F5A41">
        <w:rPr>
          <w:rFonts w:ascii="Arial" w:hAnsi="Arial" w:cs="Arial"/>
          <w:spacing w:val="-15"/>
        </w:rPr>
        <w:t xml:space="preserve"> </w:t>
      </w:r>
      <w:r w:rsidRPr="009F5A41">
        <w:rPr>
          <w:rFonts w:ascii="Arial" w:hAnsi="Arial" w:cs="Arial"/>
        </w:rPr>
        <w:t>para</w:t>
      </w:r>
      <w:r w:rsidRPr="009F5A41">
        <w:rPr>
          <w:rFonts w:ascii="Arial" w:hAnsi="Arial" w:cs="Arial"/>
          <w:spacing w:val="-14"/>
        </w:rPr>
        <w:t xml:space="preserve"> </w:t>
      </w:r>
      <w:r w:rsidRPr="009F5A41">
        <w:rPr>
          <w:rFonts w:ascii="Arial" w:hAnsi="Arial" w:cs="Arial"/>
        </w:rPr>
        <w:t>el</w:t>
      </w:r>
      <w:r w:rsidRPr="009F5A41">
        <w:rPr>
          <w:rFonts w:ascii="Arial" w:hAnsi="Arial" w:cs="Arial"/>
          <w:spacing w:val="-15"/>
        </w:rPr>
        <w:t xml:space="preserve"> </w:t>
      </w:r>
      <w:r w:rsidRPr="009F5A41">
        <w:rPr>
          <w:rFonts w:ascii="Arial" w:hAnsi="Arial" w:cs="Arial"/>
        </w:rPr>
        <w:t>Fondo</w:t>
      </w:r>
      <w:r w:rsidRPr="009F5A41">
        <w:rPr>
          <w:rFonts w:ascii="Arial" w:hAnsi="Arial" w:cs="Arial"/>
          <w:spacing w:val="-14"/>
        </w:rPr>
        <w:t xml:space="preserve"> </w:t>
      </w:r>
      <w:r w:rsidRPr="009F5A41">
        <w:rPr>
          <w:rFonts w:ascii="Arial" w:hAnsi="Arial" w:cs="Arial"/>
        </w:rPr>
        <w:t>para</w:t>
      </w:r>
      <w:r w:rsidRPr="009F5A41">
        <w:rPr>
          <w:rFonts w:ascii="Arial" w:hAnsi="Arial" w:cs="Arial"/>
          <w:spacing w:val="-14"/>
        </w:rPr>
        <w:t xml:space="preserve"> </w:t>
      </w:r>
      <w:r w:rsidRPr="009F5A41">
        <w:rPr>
          <w:rFonts w:ascii="Arial" w:hAnsi="Arial" w:cs="Arial"/>
        </w:rPr>
        <w:t>la</w:t>
      </w:r>
      <w:r w:rsidRPr="009F5A41">
        <w:rPr>
          <w:rFonts w:ascii="Arial" w:hAnsi="Arial" w:cs="Arial"/>
          <w:spacing w:val="-14"/>
        </w:rPr>
        <w:t xml:space="preserve"> </w:t>
      </w:r>
      <w:r w:rsidRPr="009F5A41">
        <w:rPr>
          <w:rFonts w:ascii="Arial" w:hAnsi="Arial" w:cs="Arial"/>
        </w:rPr>
        <w:t>Rehabilitación</w:t>
      </w:r>
      <w:r w:rsidRPr="009F5A41">
        <w:rPr>
          <w:rFonts w:ascii="Arial" w:hAnsi="Arial" w:cs="Arial"/>
          <w:spacing w:val="-14"/>
        </w:rPr>
        <w:t xml:space="preserve"> </w:t>
      </w:r>
      <w:r w:rsidRPr="009F5A41">
        <w:rPr>
          <w:rFonts w:ascii="Arial" w:hAnsi="Arial" w:cs="Arial"/>
        </w:rPr>
        <w:t>y</w:t>
      </w:r>
      <w:r w:rsidRPr="009F5A41">
        <w:rPr>
          <w:rFonts w:ascii="Arial" w:hAnsi="Arial" w:cs="Arial"/>
          <w:spacing w:val="-14"/>
        </w:rPr>
        <w:t xml:space="preserve"> </w:t>
      </w:r>
      <w:r w:rsidRPr="009F5A41">
        <w:rPr>
          <w:rFonts w:ascii="Arial" w:hAnsi="Arial" w:cs="Arial"/>
        </w:rPr>
        <w:t>Lucha contra el Crimen Organizado (FRISCO), numeral 10.1.5.5, literal a), lo cual generó una sobrestimación del deterioro de las cuentas por cobrar, con afectación al gasto por deterioro.</w:t>
      </w:r>
    </w:p>
    <w:p w:rsidR="00DD24A3" w:rsidRDefault="00DD24A3"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sidRPr="009F5A41">
        <w:rPr>
          <w:rFonts w:ascii="Arial" w:hAnsi="Arial" w:cs="Arial"/>
        </w:rPr>
        <w:lastRenderedPageBreak/>
        <w:t>Incorrección de cantidad en las cuentas por cobrar de sentencias, laudos</w:t>
      </w:r>
      <w:r w:rsidRPr="009F5A41">
        <w:rPr>
          <w:rFonts w:ascii="Arial" w:hAnsi="Arial" w:cs="Arial"/>
          <w:spacing w:val="-1"/>
        </w:rPr>
        <w:t xml:space="preserve"> </w:t>
      </w:r>
      <w:r w:rsidRPr="009F5A41">
        <w:rPr>
          <w:rFonts w:ascii="Arial" w:hAnsi="Arial" w:cs="Arial"/>
        </w:rPr>
        <w:t>arbitrales</w:t>
      </w:r>
      <w:r w:rsidRPr="009F5A41">
        <w:rPr>
          <w:rFonts w:ascii="Arial" w:hAnsi="Arial" w:cs="Arial"/>
          <w:spacing w:val="-1"/>
        </w:rPr>
        <w:t xml:space="preserve"> </w:t>
      </w:r>
      <w:r w:rsidRPr="009F5A41">
        <w:rPr>
          <w:rFonts w:ascii="Arial" w:hAnsi="Arial" w:cs="Arial"/>
        </w:rPr>
        <w:t>y</w:t>
      </w:r>
      <w:r w:rsidRPr="009F5A41">
        <w:rPr>
          <w:rFonts w:ascii="Arial" w:hAnsi="Arial" w:cs="Arial"/>
          <w:spacing w:val="-1"/>
        </w:rPr>
        <w:t xml:space="preserve"> </w:t>
      </w:r>
      <w:r w:rsidRPr="009F5A41">
        <w:rPr>
          <w:rFonts w:ascii="Arial" w:hAnsi="Arial" w:cs="Arial"/>
        </w:rPr>
        <w:t>conciliaciones</w:t>
      </w:r>
      <w:r w:rsidRPr="009F5A41">
        <w:rPr>
          <w:rFonts w:ascii="Arial" w:hAnsi="Arial" w:cs="Arial"/>
          <w:spacing w:val="-1"/>
        </w:rPr>
        <w:t xml:space="preserve"> </w:t>
      </w:r>
      <w:r w:rsidRPr="009F5A41">
        <w:rPr>
          <w:rFonts w:ascii="Arial" w:hAnsi="Arial" w:cs="Arial"/>
        </w:rPr>
        <w:t>extrajudiciales</w:t>
      </w:r>
      <w:r w:rsidRPr="009F5A41">
        <w:rPr>
          <w:rFonts w:ascii="Arial" w:hAnsi="Arial" w:cs="Arial"/>
          <w:spacing w:val="-1"/>
        </w:rPr>
        <w:t xml:space="preserve"> </w:t>
      </w:r>
      <w:r w:rsidRPr="009F5A41">
        <w:rPr>
          <w:rFonts w:ascii="Arial" w:hAnsi="Arial" w:cs="Arial"/>
        </w:rPr>
        <w:t>a</w:t>
      </w:r>
      <w:r w:rsidRPr="009F5A41">
        <w:rPr>
          <w:rFonts w:ascii="Arial" w:hAnsi="Arial" w:cs="Arial"/>
          <w:spacing w:val="-1"/>
        </w:rPr>
        <w:t xml:space="preserve"> </w:t>
      </w:r>
      <w:r w:rsidRPr="009F5A41">
        <w:rPr>
          <w:rFonts w:ascii="Arial" w:hAnsi="Arial" w:cs="Arial"/>
        </w:rPr>
        <w:t>favor</w:t>
      </w:r>
      <w:r w:rsidRPr="009F5A41">
        <w:rPr>
          <w:rFonts w:ascii="Arial" w:hAnsi="Arial" w:cs="Arial"/>
          <w:spacing w:val="-1"/>
        </w:rPr>
        <w:t xml:space="preserve"> </w:t>
      </w:r>
      <w:r w:rsidRPr="009F5A41">
        <w:rPr>
          <w:rFonts w:ascii="Arial" w:hAnsi="Arial" w:cs="Arial"/>
        </w:rPr>
        <w:t>de</w:t>
      </w:r>
      <w:r w:rsidRPr="009F5A41">
        <w:rPr>
          <w:rFonts w:ascii="Arial" w:hAnsi="Arial" w:cs="Arial"/>
          <w:spacing w:val="-1"/>
        </w:rPr>
        <w:t xml:space="preserve"> </w:t>
      </w:r>
      <w:r w:rsidRPr="009F5A41">
        <w:rPr>
          <w:rFonts w:ascii="Arial" w:hAnsi="Arial" w:cs="Arial"/>
        </w:rPr>
        <w:t>la</w:t>
      </w:r>
      <w:r w:rsidRPr="009F5A41">
        <w:rPr>
          <w:rFonts w:ascii="Arial" w:hAnsi="Arial" w:cs="Arial"/>
          <w:spacing w:val="-1"/>
        </w:rPr>
        <w:t xml:space="preserve"> </w:t>
      </w:r>
      <w:r w:rsidRPr="009F5A41">
        <w:rPr>
          <w:rFonts w:ascii="Arial" w:hAnsi="Arial" w:cs="Arial"/>
        </w:rPr>
        <w:t>entidad por $192,6 millones, debido a que el estado de situación financiera del Fondo para la Rehabilitación, Inversión Social y Lucha Contra el Crimen Organizado (FRISCO), a 31 de diciembre de 2022, reveló los litigios</w:t>
      </w:r>
      <w:r w:rsidRPr="009F5A41">
        <w:rPr>
          <w:rFonts w:ascii="Arial" w:hAnsi="Arial" w:cs="Arial"/>
          <w:spacing w:val="-14"/>
        </w:rPr>
        <w:t xml:space="preserve"> </w:t>
      </w:r>
      <w:r w:rsidRPr="009F5A41">
        <w:rPr>
          <w:rFonts w:ascii="Arial" w:hAnsi="Arial" w:cs="Arial"/>
        </w:rPr>
        <w:t>y</w:t>
      </w:r>
      <w:r w:rsidRPr="009F5A41">
        <w:rPr>
          <w:rFonts w:ascii="Arial" w:hAnsi="Arial" w:cs="Arial"/>
          <w:spacing w:val="-14"/>
        </w:rPr>
        <w:t xml:space="preserve"> </w:t>
      </w:r>
      <w:r w:rsidRPr="009F5A41">
        <w:rPr>
          <w:rFonts w:ascii="Arial" w:hAnsi="Arial" w:cs="Arial"/>
        </w:rPr>
        <w:t>demandas</w:t>
      </w:r>
      <w:r w:rsidRPr="009F5A41">
        <w:rPr>
          <w:rFonts w:ascii="Arial" w:hAnsi="Arial" w:cs="Arial"/>
          <w:spacing w:val="-15"/>
        </w:rPr>
        <w:t xml:space="preserve"> </w:t>
      </w:r>
      <w:r w:rsidRPr="009F5A41">
        <w:rPr>
          <w:rFonts w:ascii="Arial" w:hAnsi="Arial" w:cs="Arial"/>
        </w:rPr>
        <w:t>a</w:t>
      </w:r>
      <w:r w:rsidRPr="009F5A41">
        <w:rPr>
          <w:rFonts w:ascii="Arial" w:hAnsi="Arial" w:cs="Arial"/>
          <w:spacing w:val="-14"/>
        </w:rPr>
        <w:t xml:space="preserve"> </w:t>
      </w:r>
      <w:r w:rsidRPr="009F5A41">
        <w:rPr>
          <w:rFonts w:ascii="Arial" w:hAnsi="Arial" w:cs="Arial"/>
        </w:rPr>
        <w:t>favor</w:t>
      </w:r>
      <w:r w:rsidRPr="009F5A41">
        <w:rPr>
          <w:rFonts w:ascii="Arial" w:hAnsi="Arial" w:cs="Arial"/>
          <w:spacing w:val="-14"/>
        </w:rPr>
        <w:t xml:space="preserve"> </w:t>
      </w:r>
      <w:r w:rsidRPr="009F5A41">
        <w:rPr>
          <w:rFonts w:ascii="Arial" w:hAnsi="Arial" w:cs="Arial"/>
        </w:rPr>
        <w:t>de</w:t>
      </w:r>
      <w:r w:rsidRPr="009F5A41">
        <w:rPr>
          <w:rFonts w:ascii="Arial" w:hAnsi="Arial" w:cs="Arial"/>
          <w:spacing w:val="-14"/>
        </w:rPr>
        <w:t xml:space="preserve"> </w:t>
      </w:r>
      <w:r w:rsidRPr="009F5A41">
        <w:rPr>
          <w:rFonts w:ascii="Arial" w:hAnsi="Arial" w:cs="Arial"/>
        </w:rPr>
        <w:t>la</w:t>
      </w:r>
      <w:r w:rsidRPr="009F5A41">
        <w:rPr>
          <w:rFonts w:ascii="Arial" w:hAnsi="Arial" w:cs="Arial"/>
          <w:spacing w:val="-14"/>
        </w:rPr>
        <w:t xml:space="preserve"> </w:t>
      </w:r>
      <w:r w:rsidRPr="009F5A41">
        <w:rPr>
          <w:rFonts w:ascii="Arial" w:hAnsi="Arial" w:cs="Arial"/>
        </w:rPr>
        <w:t>Sociedad</w:t>
      </w:r>
      <w:r w:rsidRPr="009F5A41">
        <w:rPr>
          <w:rFonts w:ascii="Arial" w:hAnsi="Arial" w:cs="Arial"/>
          <w:spacing w:val="-15"/>
        </w:rPr>
        <w:t xml:space="preserve"> </w:t>
      </w:r>
      <w:r w:rsidRPr="009F5A41">
        <w:rPr>
          <w:rFonts w:ascii="Arial" w:hAnsi="Arial" w:cs="Arial"/>
        </w:rPr>
        <w:t>de</w:t>
      </w:r>
      <w:r w:rsidRPr="009F5A41">
        <w:rPr>
          <w:rFonts w:ascii="Arial" w:hAnsi="Arial" w:cs="Arial"/>
          <w:spacing w:val="-14"/>
        </w:rPr>
        <w:t xml:space="preserve"> </w:t>
      </w:r>
      <w:r w:rsidRPr="009F5A41">
        <w:rPr>
          <w:rFonts w:ascii="Arial" w:hAnsi="Arial" w:cs="Arial"/>
        </w:rPr>
        <w:t>Activos</w:t>
      </w:r>
      <w:r w:rsidRPr="009F5A41">
        <w:rPr>
          <w:rFonts w:ascii="Arial" w:hAnsi="Arial" w:cs="Arial"/>
          <w:spacing w:val="-14"/>
        </w:rPr>
        <w:t xml:space="preserve"> </w:t>
      </w:r>
      <w:r w:rsidRPr="009F5A41">
        <w:rPr>
          <w:rFonts w:ascii="Arial" w:hAnsi="Arial" w:cs="Arial"/>
        </w:rPr>
        <w:t>Especiales</w:t>
      </w:r>
      <w:r w:rsidRPr="009F5A41">
        <w:rPr>
          <w:rFonts w:ascii="Arial" w:hAnsi="Arial" w:cs="Arial"/>
          <w:spacing w:val="-14"/>
        </w:rPr>
        <w:t xml:space="preserve"> </w:t>
      </w:r>
      <w:r w:rsidRPr="009F5A41">
        <w:rPr>
          <w:rFonts w:ascii="Arial" w:hAnsi="Arial" w:cs="Arial"/>
        </w:rPr>
        <w:t>(SAE) S.A.S.,</w:t>
      </w:r>
      <w:r w:rsidRPr="009F5A41">
        <w:rPr>
          <w:rFonts w:ascii="Arial" w:hAnsi="Arial" w:cs="Arial"/>
          <w:spacing w:val="-6"/>
        </w:rPr>
        <w:t xml:space="preserve"> </w:t>
      </w:r>
      <w:r w:rsidRPr="009F5A41">
        <w:rPr>
          <w:rFonts w:ascii="Arial" w:hAnsi="Arial" w:cs="Arial"/>
        </w:rPr>
        <w:t>entidad</w:t>
      </w:r>
      <w:r w:rsidRPr="009F5A41">
        <w:rPr>
          <w:rFonts w:ascii="Arial" w:hAnsi="Arial" w:cs="Arial"/>
          <w:spacing w:val="-6"/>
        </w:rPr>
        <w:t xml:space="preserve"> </w:t>
      </w:r>
      <w:r w:rsidRPr="009F5A41">
        <w:rPr>
          <w:rFonts w:ascii="Arial" w:hAnsi="Arial" w:cs="Arial"/>
        </w:rPr>
        <w:t>que</w:t>
      </w:r>
      <w:r w:rsidRPr="009F5A41">
        <w:rPr>
          <w:rFonts w:ascii="Arial" w:hAnsi="Arial" w:cs="Arial"/>
          <w:spacing w:val="-6"/>
        </w:rPr>
        <w:t xml:space="preserve"> </w:t>
      </w:r>
      <w:r w:rsidRPr="009F5A41">
        <w:rPr>
          <w:rFonts w:ascii="Arial" w:hAnsi="Arial" w:cs="Arial"/>
        </w:rPr>
        <w:t>actúa</w:t>
      </w:r>
      <w:r w:rsidRPr="009F5A41">
        <w:rPr>
          <w:rFonts w:ascii="Arial" w:hAnsi="Arial" w:cs="Arial"/>
          <w:spacing w:val="-6"/>
        </w:rPr>
        <w:t xml:space="preserve"> </w:t>
      </w:r>
      <w:r w:rsidRPr="009F5A41">
        <w:rPr>
          <w:rFonts w:ascii="Arial" w:hAnsi="Arial" w:cs="Arial"/>
        </w:rPr>
        <w:t>como</w:t>
      </w:r>
      <w:r w:rsidRPr="009F5A41">
        <w:rPr>
          <w:rFonts w:ascii="Arial" w:hAnsi="Arial" w:cs="Arial"/>
          <w:spacing w:val="-6"/>
        </w:rPr>
        <w:t xml:space="preserve"> </w:t>
      </w:r>
      <w:r w:rsidRPr="009F5A41">
        <w:rPr>
          <w:rFonts w:ascii="Arial" w:hAnsi="Arial" w:cs="Arial"/>
        </w:rPr>
        <w:t>demandante,</w:t>
      </w:r>
      <w:r w:rsidRPr="009F5A41">
        <w:rPr>
          <w:rFonts w:ascii="Arial" w:hAnsi="Arial" w:cs="Arial"/>
          <w:spacing w:val="-6"/>
        </w:rPr>
        <w:t xml:space="preserve"> </w:t>
      </w:r>
      <w:r w:rsidRPr="009F5A41">
        <w:rPr>
          <w:rFonts w:ascii="Arial" w:hAnsi="Arial" w:cs="Arial"/>
        </w:rPr>
        <w:t>toda</w:t>
      </w:r>
      <w:r w:rsidRPr="009F5A41">
        <w:rPr>
          <w:rFonts w:ascii="Arial" w:hAnsi="Arial" w:cs="Arial"/>
          <w:spacing w:val="-6"/>
        </w:rPr>
        <w:t xml:space="preserve"> </w:t>
      </w:r>
      <w:r w:rsidRPr="009F5A41">
        <w:rPr>
          <w:rFonts w:ascii="Arial" w:hAnsi="Arial" w:cs="Arial"/>
        </w:rPr>
        <w:t>vez</w:t>
      </w:r>
      <w:r w:rsidRPr="009F5A41">
        <w:rPr>
          <w:rFonts w:ascii="Arial" w:hAnsi="Arial" w:cs="Arial"/>
          <w:spacing w:val="-6"/>
        </w:rPr>
        <w:t xml:space="preserve"> </w:t>
      </w:r>
      <w:r w:rsidRPr="009F5A41">
        <w:rPr>
          <w:rFonts w:ascii="Arial" w:hAnsi="Arial" w:cs="Arial"/>
        </w:rPr>
        <w:t>que</w:t>
      </w:r>
      <w:r w:rsidRPr="009F5A41">
        <w:rPr>
          <w:rFonts w:ascii="Arial" w:hAnsi="Arial" w:cs="Arial"/>
          <w:spacing w:val="-6"/>
        </w:rPr>
        <w:t xml:space="preserve"> </w:t>
      </w:r>
      <w:r w:rsidRPr="009F5A41">
        <w:rPr>
          <w:rFonts w:ascii="Arial" w:hAnsi="Arial" w:cs="Arial"/>
        </w:rPr>
        <w:t>ostenta</w:t>
      </w:r>
      <w:r w:rsidRPr="009F5A41">
        <w:rPr>
          <w:rFonts w:ascii="Arial" w:hAnsi="Arial" w:cs="Arial"/>
          <w:spacing w:val="-6"/>
        </w:rPr>
        <w:t xml:space="preserve"> </w:t>
      </w:r>
      <w:r w:rsidRPr="009F5A41">
        <w:rPr>
          <w:rFonts w:ascii="Arial" w:hAnsi="Arial" w:cs="Arial"/>
        </w:rPr>
        <w:t>la personería</w:t>
      </w:r>
      <w:r w:rsidRPr="009F5A41">
        <w:rPr>
          <w:rFonts w:ascii="Arial" w:hAnsi="Arial" w:cs="Arial"/>
          <w:spacing w:val="-17"/>
        </w:rPr>
        <w:t xml:space="preserve"> </w:t>
      </w:r>
      <w:r w:rsidRPr="009F5A41">
        <w:rPr>
          <w:rFonts w:ascii="Arial" w:hAnsi="Arial" w:cs="Arial"/>
        </w:rPr>
        <w:t>jurídica,</w:t>
      </w:r>
      <w:r w:rsidRPr="009F5A41">
        <w:rPr>
          <w:rFonts w:ascii="Arial" w:hAnsi="Arial" w:cs="Arial"/>
          <w:spacing w:val="-17"/>
        </w:rPr>
        <w:t xml:space="preserve"> </w:t>
      </w:r>
      <w:r w:rsidRPr="009F5A41">
        <w:rPr>
          <w:rFonts w:ascii="Arial" w:hAnsi="Arial" w:cs="Arial"/>
        </w:rPr>
        <w:t>contraviniendo</w:t>
      </w:r>
      <w:r w:rsidRPr="009F5A41">
        <w:rPr>
          <w:rFonts w:ascii="Arial" w:hAnsi="Arial" w:cs="Arial"/>
          <w:spacing w:val="-17"/>
        </w:rPr>
        <w:t xml:space="preserve"> </w:t>
      </w:r>
      <w:r w:rsidRPr="009F5A41">
        <w:rPr>
          <w:rFonts w:ascii="Arial" w:hAnsi="Arial" w:cs="Arial"/>
        </w:rPr>
        <w:t>lo</w:t>
      </w:r>
      <w:r w:rsidRPr="009F5A41">
        <w:rPr>
          <w:rFonts w:ascii="Arial" w:hAnsi="Arial" w:cs="Arial"/>
          <w:spacing w:val="-17"/>
        </w:rPr>
        <w:t xml:space="preserve"> </w:t>
      </w:r>
      <w:r w:rsidRPr="009F5A41">
        <w:rPr>
          <w:rFonts w:ascii="Arial" w:hAnsi="Arial" w:cs="Arial"/>
        </w:rPr>
        <w:t>establecido</w:t>
      </w:r>
      <w:r w:rsidRPr="009F5A41">
        <w:rPr>
          <w:rFonts w:ascii="Arial" w:hAnsi="Arial" w:cs="Arial"/>
          <w:spacing w:val="-17"/>
        </w:rPr>
        <w:t xml:space="preserve"> </w:t>
      </w:r>
      <w:r w:rsidRPr="009F5A41">
        <w:rPr>
          <w:rFonts w:ascii="Arial" w:hAnsi="Arial" w:cs="Arial"/>
        </w:rPr>
        <w:t>en</w:t>
      </w:r>
      <w:r w:rsidRPr="009F5A41">
        <w:rPr>
          <w:rFonts w:ascii="Arial" w:hAnsi="Arial" w:cs="Arial"/>
          <w:spacing w:val="-17"/>
        </w:rPr>
        <w:t xml:space="preserve"> </w:t>
      </w:r>
      <w:r w:rsidRPr="009F5A41">
        <w:rPr>
          <w:rFonts w:ascii="Arial" w:hAnsi="Arial" w:cs="Arial"/>
        </w:rPr>
        <w:t>la</w:t>
      </w:r>
      <w:r w:rsidRPr="009F5A41">
        <w:rPr>
          <w:rFonts w:ascii="Arial" w:hAnsi="Arial" w:cs="Arial"/>
          <w:spacing w:val="-17"/>
        </w:rPr>
        <w:t xml:space="preserve"> </w:t>
      </w:r>
      <w:r w:rsidRPr="009F5A41">
        <w:rPr>
          <w:rFonts w:ascii="Arial" w:hAnsi="Arial" w:cs="Arial"/>
        </w:rPr>
        <w:t>Resolución</w:t>
      </w:r>
      <w:r w:rsidRPr="009F5A41">
        <w:rPr>
          <w:rFonts w:ascii="Arial" w:hAnsi="Arial" w:cs="Arial"/>
          <w:spacing w:val="-17"/>
        </w:rPr>
        <w:t xml:space="preserve"> </w:t>
      </w:r>
      <w:r w:rsidRPr="009F5A41">
        <w:rPr>
          <w:rFonts w:ascii="Arial" w:hAnsi="Arial" w:cs="Arial"/>
        </w:rPr>
        <w:t xml:space="preserve">116 </w:t>
      </w:r>
      <w:r w:rsidRPr="009F5A41">
        <w:rPr>
          <w:rFonts w:ascii="Arial" w:hAnsi="Arial" w:cs="Arial"/>
          <w:spacing w:val="-6"/>
        </w:rPr>
        <w:t>de</w:t>
      </w:r>
      <w:r w:rsidRPr="009F5A41">
        <w:rPr>
          <w:rFonts w:ascii="Arial" w:hAnsi="Arial" w:cs="Arial"/>
          <w:spacing w:val="-12"/>
        </w:rPr>
        <w:t xml:space="preserve"> </w:t>
      </w:r>
      <w:r w:rsidRPr="009F5A41">
        <w:rPr>
          <w:rFonts w:ascii="Arial" w:hAnsi="Arial" w:cs="Arial"/>
          <w:spacing w:val="-6"/>
        </w:rPr>
        <w:t>2017</w:t>
      </w:r>
      <w:r w:rsidRPr="009F5A41">
        <w:rPr>
          <w:rFonts w:ascii="Arial" w:hAnsi="Arial" w:cs="Arial"/>
          <w:spacing w:val="-12"/>
        </w:rPr>
        <w:t xml:space="preserve"> </w:t>
      </w:r>
      <w:r w:rsidRPr="009F5A41">
        <w:rPr>
          <w:rFonts w:ascii="Arial" w:hAnsi="Arial" w:cs="Arial"/>
          <w:spacing w:val="-6"/>
        </w:rPr>
        <w:t>de</w:t>
      </w:r>
      <w:r w:rsidRPr="009F5A41">
        <w:rPr>
          <w:rFonts w:ascii="Arial" w:hAnsi="Arial" w:cs="Arial"/>
          <w:spacing w:val="-12"/>
        </w:rPr>
        <w:t xml:space="preserve"> </w:t>
      </w:r>
      <w:r w:rsidRPr="009F5A41">
        <w:rPr>
          <w:rFonts w:ascii="Arial" w:hAnsi="Arial" w:cs="Arial"/>
          <w:spacing w:val="-6"/>
        </w:rPr>
        <w:t>la</w:t>
      </w:r>
      <w:r w:rsidRPr="009F5A41">
        <w:rPr>
          <w:rFonts w:ascii="Arial" w:hAnsi="Arial" w:cs="Arial"/>
          <w:spacing w:val="-12"/>
        </w:rPr>
        <w:t xml:space="preserve"> </w:t>
      </w:r>
      <w:r w:rsidRPr="009F5A41">
        <w:rPr>
          <w:rFonts w:ascii="Arial" w:hAnsi="Arial" w:cs="Arial"/>
          <w:spacing w:val="-6"/>
        </w:rPr>
        <w:t>Contaduría</w:t>
      </w:r>
      <w:r w:rsidRPr="009F5A41">
        <w:rPr>
          <w:rFonts w:ascii="Arial" w:hAnsi="Arial" w:cs="Arial"/>
          <w:spacing w:val="-12"/>
        </w:rPr>
        <w:t xml:space="preserve"> </w:t>
      </w:r>
      <w:r w:rsidRPr="009F5A41">
        <w:rPr>
          <w:rFonts w:ascii="Arial" w:hAnsi="Arial" w:cs="Arial"/>
          <w:spacing w:val="-6"/>
        </w:rPr>
        <w:t>General</w:t>
      </w:r>
      <w:r w:rsidRPr="009F5A41">
        <w:rPr>
          <w:rFonts w:ascii="Arial" w:hAnsi="Arial" w:cs="Arial"/>
          <w:spacing w:val="-12"/>
        </w:rPr>
        <w:t xml:space="preserve"> </w:t>
      </w:r>
      <w:r w:rsidRPr="009F5A41">
        <w:rPr>
          <w:rFonts w:ascii="Arial" w:hAnsi="Arial" w:cs="Arial"/>
          <w:spacing w:val="-6"/>
        </w:rPr>
        <w:t>de</w:t>
      </w:r>
      <w:r w:rsidRPr="009F5A41">
        <w:rPr>
          <w:rFonts w:ascii="Arial" w:hAnsi="Arial" w:cs="Arial"/>
          <w:spacing w:val="-12"/>
        </w:rPr>
        <w:t xml:space="preserve"> </w:t>
      </w:r>
      <w:r w:rsidRPr="009F5A41">
        <w:rPr>
          <w:rFonts w:ascii="Arial" w:hAnsi="Arial" w:cs="Arial"/>
          <w:spacing w:val="-6"/>
        </w:rPr>
        <w:t>la</w:t>
      </w:r>
      <w:r w:rsidRPr="009F5A41">
        <w:rPr>
          <w:rFonts w:ascii="Arial" w:hAnsi="Arial" w:cs="Arial"/>
          <w:spacing w:val="-12"/>
        </w:rPr>
        <w:t xml:space="preserve"> </w:t>
      </w:r>
      <w:r w:rsidRPr="009F5A41">
        <w:rPr>
          <w:rFonts w:ascii="Arial" w:hAnsi="Arial" w:cs="Arial"/>
          <w:spacing w:val="-6"/>
        </w:rPr>
        <w:t>Nación,</w:t>
      </w:r>
      <w:r w:rsidRPr="009F5A41">
        <w:rPr>
          <w:rFonts w:ascii="Arial" w:hAnsi="Arial" w:cs="Arial"/>
          <w:spacing w:val="-12"/>
        </w:rPr>
        <w:t xml:space="preserve"> </w:t>
      </w:r>
      <w:r w:rsidRPr="009F5A41">
        <w:rPr>
          <w:rFonts w:ascii="Arial" w:hAnsi="Arial" w:cs="Arial"/>
          <w:spacing w:val="-6"/>
        </w:rPr>
        <w:t>Por</w:t>
      </w:r>
      <w:r w:rsidRPr="009F5A41">
        <w:rPr>
          <w:rFonts w:ascii="Arial" w:hAnsi="Arial" w:cs="Arial"/>
          <w:spacing w:val="-12"/>
        </w:rPr>
        <w:t xml:space="preserve"> </w:t>
      </w:r>
      <w:r w:rsidRPr="009F5A41">
        <w:rPr>
          <w:rFonts w:ascii="Arial" w:hAnsi="Arial" w:cs="Arial"/>
          <w:spacing w:val="-6"/>
        </w:rPr>
        <w:t>la</w:t>
      </w:r>
      <w:r w:rsidRPr="009F5A41">
        <w:rPr>
          <w:rFonts w:ascii="Arial" w:hAnsi="Arial" w:cs="Arial"/>
          <w:spacing w:val="-12"/>
        </w:rPr>
        <w:t xml:space="preserve"> </w:t>
      </w:r>
      <w:r w:rsidRPr="009F5A41">
        <w:rPr>
          <w:rFonts w:ascii="Arial" w:hAnsi="Arial" w:cs="Arial"/>
          <w:spacing w:val="-6"/>
        </w:rPr>
        <w:t>cual</w:t>
      </w:r>
      <w:r w:rsidRPr="009F5A41">
        <w:rPr>
          <w:rFonts w:ascii="Arial" w:hAnsi="Arial" w:cs="Arial"/>
          <w:spacing w:val="-12"/>
        </w:rPr>
        <w:t xml:space="preserve"> </w:t>
      </w:r>
      <w:r w:rsidRPr="009F5A41">
        <w:rPr>
          <w:rFonts w:ascii="Arial" w:hAnsi="Arial" w:cs="Arial"/>
          <w:spacing w:val="-6"/>
        </w:rPr>
        <w:t>se</w:t>
      </w:r>
      <w:r w:rsidRPr="009F5A41">
        <w:rPr>
          <w:rFonts w:ascii="Arial" w:hAnsi="Arial" w:cs="Arial"/>
          <w:spacing w:val="-12"/>
        </w:rPr>
        <w:t xml:space="preserve"> </w:t>
      </w:r>
      <w:r w:rsidRPr="009F5A41">
        <w:rPr>
          <w:rFonts w:ascii="Arial" w:hAnsi="Arial" w:cs="Arial"/>
          <w:spacing w:val="-6"/>
        </w:rPr>
        <w:t>incorpora</w:t>
      </w:r>
      <w:r w:rsidRPr="009F5A41">
        <w:rPr>
          <w:rFonts w:ascii="Arial" w:hAnsi="Arial" w:cs="Arial"/>
          <w:spacing w:val="-12"/>
        </w:rPr>
        <w:t xml:space="preserve"> </w:t>
      </w:r>
      <w:r w:rsidRPr="009F5A41">
        <w:rPr>
          <w:rFonts w:ascii="Arial" w:hAnsi="Arial" w:cs="Arial"/>
          <w:spacing w:val="-6"/>
        </w:rPr>
        <w:t xml:space="preserve">al </w:t>
      </w:r>
      <w:r w:rsidRPr="009F5A41">
        <w:rPr>
          <w:rFonts w:ascii="Arial" w:hAnsi="Arial" w:cs="Arial"/>
          <w:spacing w:val="-2"/>
        </w:rPr>
        <w:t>marco</w:t>
      </w:r>
      <w:r w:rsidRPr="009F5A41">
        <w:rPr>
          <w:rFonts w:ascii="Arial" w:hAnsi="Arial" w:cs="Arial"/>
          <w:spacing w:val="-18"/>
        </w:rPr>
        <w:t xml:space="preserve"> </w:t>
      </w:r>
      <w:r w:rsidRPr="009F5A41">
        <w:rPr>
          <w:rFonts w:ascii="Arial" w:hAnsi="Arial" w:cs="Arial"/>
          <w:spacing w:val="-2"/>
        </w:rPr>
        <w:t>normativo</w:t>
      </w:r>
      <w:r w:rsidRPr="009F5A41">
        <w:rPr>
          <w:rFonts w:ascii="Arial" w:hAnsi="Arial" w:cs="Arial"/>
          <w:spacing w:val="-17"/>
        </w:rPr>
        <w:t xml:space="preserve"> </w:t>
      </w:r>
      <w:r w:rsidRPr="009F5A41">
        <w:rPr>
          <w:rFonts w:ascii="Arial" w:hAnsi="Arial" w:cs="Arial"/>
          <w:spacing w:val="-2"/>
        </w:rPr>
        <w:t>para</w:t>
      </w:r>
      <w:r w:rsidRPr="009F5A41">
        <w:rPr>
          <w:rFonts w:ascii="Arial" w:hAnsi="Arial" w:cs="Arial"/>
          <w:spacing w:val="-17"/>
        </w:rPr>
        <w:t xml:space="preserve"> </w:t>
      </w:r>
      <w:r w:rsidRPr="009F5A41">
        <w:rPr>
          <w:rFonts w:ascii="Arial" w:hAnsi="Arial" w:cs="Arial"/>
          <w:spacing w:val="-2"/>
        </w:rPr>
        <w:t>entidades</w:t>
      </w:r>
      <w:r w:rsidRPr="009F5A41">
        <w:rPr>
          <w:rFonts w:ascii="Arial" w:hAnsi="Arial" w:cs="Arial"/>
          <w:spacing w:val="-18"/>
        </w:rPr>
        <w:t xml:space="preserve"> </w:t>
      </w:r>
      <w:r w:rsidRPr="009F5A41">
        <w:rPr>
          <w:rFonts w:ascii="Arial" w:hAnsi="Arial" w:cs="Arial"/>
          <w:spacing w:val="-2"/>
        </w:rPr>
        <w:t>de</w:t>
      </w:r>
      <w:r w:rsidRPr="009F5A41">
        <w:rPr>
          <w:rFonts w:ascii="Arial" w:hAnsi="Arial" w:cs="Arial"/>
          <w:spacing w:val="-17"/>
        </w:rPr>
        <w:t xml:space="preserve"> </w:t>
      </w:r>
      <w:r w:rsidRPr="009F5A41">
        <w:rPr>
          <w:rFonts w:ascii="Arial" w:hAnsi="Arial" w:cs="Arial"/>
          <w:spacing w:val="-2"/>
        </w:rPr>
        <w:t>gobierno</w:t>
      </w:r>
      <w:r w:rsidRPr="009F5A41">
        <w:rPr>
          <w:rFonts w:ascii="Arial" w:hAnsi="Arial" w:cs="Arial"/>
          <w:spacing w:val="-17"/>
        </w:rPr>
        <w:t xml:space="preserve"> </w:t>
      </w:r>
      <w:r w:rsidRPr="009F5A41">
        <w:rPr>
          <w:rFonts w:ascii="Arial" w:hAnsi="Arial" w:cs="Arial"/>
          <w:spacing w:val="-2"/>
        </w:rPr>
        <w:t>el</w:t>
      </w:r>
      <w:r w:rsidRPr="009F5A41">
        <w:rPr>
          <w:rFonts w:ascii="Arial" w:hAnsi="Arial" w:cs="Arial"/>
          <w:spacing w:val="-18"/>
        </w:rPr>
        <w:t xml:space="preserve"> </w:t>
      </w:r>
      <w:r w:rsidRPr="009F5A41">
        <w:rPr>
          <w:rFonts w:ascii="Arial" w:hAnsi="Arial" w:cs="Arial"/>
          <w:spacing w:val="-2"/>
        </w:rPr>
        <w:t>procedimiento</w:t>
      </w:r>
      <w:r w:rsidRPr="009F5A41">
        <w:rPr>
          <w:rFonts w:ascii="Arial" w:hAnsi="Arial" w:cs="Arial"/>
          <w:spacing w:val="-17"/>
        </w:rPr>
        <w:t xml:space="preserve"> </w:t>
      </w:r>
      <w:r w:rsidRPr="009F5A41">
        <w:rPr>
          <w:rFonts w:ascii="Arial" w:hAnsi="Arial" w:cs="Arial"/>
          <w:spacing w:val="-2"/>
        </w:rPr>
        <w:t xml:space="preserve">contable </w:t>
      </w:r>
      <w:r w:rsidRPr="009F5A41">
        <w:rPr>
          <w:rFonts w:ascii="Arial" w:hAnsi="Arial" w:cs="Arial"/>
        </w:rPr>
        <w:t>para el registro de los procesos judiciales, arbitrajes, conciliaciones extrajudiciales y embargo sobre cuentas bancarias, y se modifica el Catálogo</w:t>
      </w:r>
      <w:r w:rsidRPr="009F5A41">
        <w:rPr>
          <w:rFonts w:ascii="Arial" w:hAnsi="Arial" w:cs="Arial"/>
          <w:spacing w:val="-12"/>
        </w:rPr>
        <w:t xml:space="preserve"> </w:t>
      </w:r>
      <w:r w:rsidRPr="009F5A41">
        <w:rPr>
          <w:rFonts w:ascii="Arial" w:hAnsi="Arial" w:cs="Arial"/>
        </w:rPr>
        <w:t>General</w:t>
      </w:r>
      <w:r w:rsidRPr="009F5A41">
        <w:rPr>
          <w:rFonts w:ascii="Arial" w:hAnsi="Arial" w:cs="Arial"/>
          <w:spacing w:val="-12"/>
        </w:rPr>
        <w:t xml:space="preserve"> </w:t>
      </w:r>
      <w:r w:rsidRPr="009F5A41">
        <w:rPr>
          <w:rFonts w:ascii="Arial" w:hAnsi="Arial" w:cs="Arial"/>
        </w:rPr>
        <w:t>de</w:t>
      </w:r>
      <w:r w:rsidRPr="009F5A41">
        <w:rPr>
          <w:rFonts w:ascii="Arial" w:hAnsi="Arial" w:cs="Arial"/>
          <w:spacing w:val="-12"/>
        </w:rPr>
        <w:t xml:space="preserve"> </w:t>
      </w:r>
      <w:r w:rsidRPr="009F5A41">
        <w:rPr>
          <w:rFonts w:ascii="Arial" w:hAnsi="Arial" w:cs="Arial"/>
        </w:rPr>
        <w:t>Cuentas</w:t>
      </w:r>
      <w:r w:rsidRPr="009F5A41">
        <w:rPr>
          <w:rFonts w:ascii="Arial" w:hAnsi="Arial" w:cs="Arial"/>
          <w:spacing w:val="-12"/>
        </w:rPr>
        <w:t xml:space="preserve"> </w:t>
      </w:r>
      <w:r w:rsidRPr="009F5A41">
        <w:rPr>
          <w:rFonts w:ascii="Arial" w:hAnsi="Arial" w:cs="Arial"/>
        </w:rPr>
        <w:t>de</w:t>
      </w:r>
      <w:r w:rsidRPr="009F5A41">
        <w:rPr>
          <w:rFonts w:ascii="Arial" w:hAnsi="Arial" w:cs="Arial"/>
          <w:spacing w:val="-12"/>
        </w:rPr>
        <w:t xml:space="preserve"> </w:t>
      </w:r>
      <w:r w:rsidRPr="009F5A41">
        <w:rPr>
          <w:rFonts w:ascii="Arial" w:hAnsi="Arial" w:cs="Arial"/>
        </w:rPr>
        <w:t>dicho</w:t>
      </w:r>
      <w:r w:rsidRPr="009F5A41">
        <w:rPr>
          <w:rFonts w:ascii="Arial" w:hAnsi="Arial" w:cs="Arial"/>
          <w:spacing w:val="-12"/>
        </w:rPr>
        <w:t xml:space="preserve"> </w:t>
      </w:r>
      <w:r w:rsidRPr="009F5A41">
        <w:rPr>
          <w:rFonts w:ascii="Arial" w:hAnsi="Arial" w:cs="Arial"/>
        </w:rPr>
        <w:t>marco</w:t>
      </w:r>
      <w:r w:rsidRPr="009F5A41">
        <w:rPr>
          <w:rFonts w:ascii="Arial" w:hAnsi="Arial" w:cs="Arial"/>
          <w:spacing w:val="-12"/>
        </w:rPr>
        <w:t xml:space="preserve"> </w:t>
      </w:r>
      <w:r w:rsidRPr="009F5A41">
        <w:rPr>
          <w:rFonts w:ascii="Arial" w:hAnsi="Arial" w:cs="Arial"/>
        </w:rPr>
        <w:t>normativo,</w:t>
      </w:r>
      <w:r w:rsidRPr="009F5A41">
        <w:rPr>
          <w:rFonts w:ascii="Arial" w:hAnsi="Arial" w:cs="Arial"/>
          <w:spacing w:val="-12"/>
        </w:rPr>
        <w:t xml:space="preserve"> </w:t>
      </w:r>
      <w:r w:rsidRPr="009F5A41">
        <w:rPr>
          <w:rFonts w:ascii="Arial" w:hAnsi="Arial" w:cs="Arial"/>
        </w:rPr>
        <w:t>numeral</w:t>
      </w:r>
      <w:r w:rsidRPr="009F5A41">
        <w:rPr>
          <w:rFonts w:ascii="Arial" w:hAnsi="Arial" w:cs="Arial"/>
          <w:spacing w:val="-12"/>
        </w:rPr>
        <w:t xml:space="preserve"> </w:t>
      </w:r>
      <w:r w:rsidRPr="009F5A41">
        <w:rPr>
          <w:rFonts w:ascii="Arial" w:hAnsi="Arial" w:cs="Arial"/>
          <w:spacing w:val="-4"/>
        </w:rPr>
        <w:t>1.2;</w:t>
      </w:r>
      <w:r>
        <w:rPr>
          <w:rFonts w:ascii="Arial" w:hAnsi="Arial" w:cs="Arial"/>
          <w:spacing w:val="-4"/>
        </w:rPr>
        <w:t xml:space="preserve"> </w:t>
      </w:r>
      <w:r w:rsidRPr="009F5A41">
        <w:rPr>
          <w:rFonts w:ascii="Arial" w:hAnsi="Arial" w:cs="Arial"/>
        </w:rPr>
        <w:t>lo</w:t>
      </w:r>
      <w:r w:rsidRPr="009F5A41">
        <w:rPr>
          <w:rFonts w:ascii="Arial" w:hAnsi="Arial" w:cs="Arial"/>
          <w:spacing w:val="-1"/>
        </w:rPr>
        <w:t xml:space="preserve"> </w:t>
      </w:r>
      <w:r w:rsidRPr="009F5A41">
        <w:rPr>
          <w:rFonts w:ascii="Arial" w:hAnsi="Arial" w:cs="Arial"/>
        </w:rPr>
        <w:t>cual</w:t>
      </w:r>
      <w:r w:rsidRPr="009F5A41">
        <w:rPr>
          <w:rFonts w:ascii="Arial" w:hAnsi="Arial" w:cs="Arial"/>
          <w:spacing w:val="-1"/>
        </w:rPr>
        <w:t xml:space="preserve"> </w:t>
      </w:r>
      <w:r w:rsidRPr="009F5A41">
        <w:rPr>
          <w:rFonts w:ascii="Arial" w:hAnsi="Arial" w:cs="Arial"/>
        </w:rPr>
        <w:t>generó</w:t>
      </w:r>
      <w:r w:rsidRPr="009F5A41">
        <w:rPr>
          <w:rFonts w:ascii="Arial" w:hAnsi="Arial" w:cs="Arial"/>
          <w:spacing w:val="-1"/>
        </w:rPr>
        <w:t xml:space="preserve"> </w:t>
      </w:r>
      <w:r w:rsidRPr="009F5A41">
        <w:rPr>
          <w:rFonts w:ascii="Arial" w:hAnsi="Arial" w:cs="Arial"/>
        </w:rPr>
        <w:t>sobrestimación</w:t>
      </w:r>
      <w:r w:rsidRPr="009F5A41">
        <w:rPr>
          <w:rFonts w:ascii="Arial" w:hAnsi="Arial" w:cs="Arial"/>
          <w:spacing w:val="-1"/>
        </w:rPr>
        <w:t xml:space="preserve"> </w:t>
      </w:r>
      <w:r w:rsidRPr="009F5A41">
        <w:rPr>
          <w:rFonts w:ascii="Arial" w:hAnsi="Arial" w:cs="Arial"/>
        </w:rPr>
        <w:t>del</w:t>
      </w:r>
      <w:r w:rsidRPr="009F5A41">
        <w:rPr>
          <w:rFonts w:ascii="Arial" w:hAnsi="Arial" w:cs="Arial"/>
          <w:spacing w:val="-1"/>
        </w:rPr>
        <w:t xml:space="preserve"> </w:t>
      </w:r>
      <w:r w:rsidRPr="009F5A41">
        <w:rPr>
          <w:rFonts w:ascii="Arial" w:hAnsi="Arial" w:cs="Arial"/>
        </w:rPr>
        <w:t>activo</w:t>
      </w:r>
      <w:r w:rsidRPr="009F5A41">
        <w:rPr>
          <w:rFonts w:ascii="Arial" w:hAnsi="Arial" w:cs="Arial"/>
          <w:spacing w:val="-1"/>
        </w:rPr>
        <w:t xml:space="preserve"> </w:t>
      </w:r>
      <w:r w:rsidRPr="009F5A41">
        <w:rPr>
          <w:rFonts w:ascii="Arial" w:hAnsi="Arial" w:cs="Arial"/>
        </w:rPr>
        <w:t>del</w:t>
      </w:r>
      <w:r w:rsidRPr="009F5A41">
        <w:rPr>
          <w:rFonts w:ascii="Arial" w:hAnsi="Arial" w:cs="Arial"/>
          <w:spacing w:val="-1"/>
        </w:rPr>
        <w:t xml:space="preserve"> </w:t>
      </w:r>
      <w:r w:rsidRPr="009F5A41">
        <w:rPr>
          <w:rFonts w:ascii="Arial" w:hAnsi="Arial" w:cs="Arial"/>
        </w:rPr>
        <w:t>Frisco</w:t>
      </w:r>
      <w:r w:rsidRPr="009F5A41">
        <w:rPr>
          <w:rFonts w:ascii="Arial" w:hAnsi="Arial" w:cs="Arial"/>
          <w:spacing w:val="-1"/>
        </w:rPr>
        <w:t xml:space="preserve"> </w:t>
      </w:r>
      <w:r w:rsidRPr="009F5A41">
        <w:rPr>
          <w:rFonts w:ascii="Arial" w:hAnsi="Arial" w:cs="Arial"/>
        </w:rPr>
        <w:t>en</w:t>
      </w:r>
      <w:r w:rsidRPr="009F5A41">
        <w:rPr>
          <w:rFonts w:ascii="Arial" w:hAnsi="Arial" w:cs="Arial"/>
          <w:spacing w:val="-1"/>
        </w:rPr>
        <w:t xml:space="preserve"> </w:t>
      </w:r>
      <w:r w:rsidRPr="009F5A41">
        <w:rPr>
          <w:rFonts w:ascii="Arial" w:hAnsi="Arial" w:cs="Arial"/>
        </w:rPr>
        <w:t>las</w:t>
      </w:r>
      <w:r w:rsidRPr="009F5A41">
        <w:rPr>
          <w:rFonts w:ascii="Arial" w:hAnsi="Arial" w:cs="Arial"/>
          <w:spacing w:val="-1"/>
        </w:rPr>
        <w:t xml:space="preserve"> </w:t>
      </w:r>
      <w:r w:rsidRPr="009F5A41">
        <w:rPr>
          <w:rFonts w:ascii="Arial" w:hAnsi="Arial" w:cs="Arial"/>
        </w:rPr>
        <w:t>cuentas</w:t>
      </w:r>
      <w:r w:rsidRPr="009F5A41">
        <w:rPr>
          <w:rFonts w:ascii="Arial" w:hAnsi="Arial" w:cs="Arial"/>
          <w:spacing w:val="-1"/>
        </w:rPr>
        <w:t xml:space="preserve"> </w:t>
      </w:r>
      <w:r w:rsidRPr="009F5A41">
        <w:rPr>
          <w:rFonts w:ascii="Arial" w:hAnsi="Arial" w:cs="Arial"/>
        </w:rPr>
        <w:t>por cobrar,</w:t>
      </w:r>
      <w:r w:rsidRPr="009F5A41">
        <w:rPr>
          <w:rFonts w:ascii="Arial" w:hAnsi="Arial" w:cs="Arial"/>
          <w:spacing w:val="-20"/>
        </w:rPr>
        <w:t xml:space="preserve"> </w:t>
      </w:r>
      <w:r w:rsidRPr="009F5A41">
        <w:rPr>
          <w:rFonts w:ascii="Arial" w:hAnsi="Arial" w:cs="Arial"/>
        </w:rPr>
        <w:t>por</w:t>
      </w:r>
      <w:r w:rsidRPr="009F5A41">
        <w:rPr>
          <w:rFonts w:ascii="Arial" w:hAnsi="Arial" w:cs="Arial"/>
          <w:spacing w:val="-19"/>
        </w:rPr>
        <w:t xml:space="preserve"> </w:t>
      </w:r>
      <w:r w:rsidRPr="009F5A41">
        <w:rPr>
          <w:rFonts w:ascii="Arial" w:hAnsi="Arial" w:cs="Arial"/>
        </w:rPr>
        <w:t>procesos</w:t>
      </w:r>
      <w:r w:rsidRPr="009F5A41">
        <w:rPr>
          <w:rFonts w:ascii="Arial" w:hAnsi="Arial" w:cs="Arial"/>
          <w:spacing w:val="-19"/>
        </w:rPr>
        <w:t xml:space="preserve"> </w:t>
      </w:r>
      <w:r w:rsidRPr="009F5A41">
        <w:rPr>
          <w:rFonts w:ascii="Arial" w:hAnsi="Arial" w:cs="Arial"/>
        </w:rPr>
        <w:t>judiciales</w:t>
      </w:r>
      <w:r w:rsidRPr="009F5A41">
        <w:rPr>
          <w:rFonts w:ascii="Arial" w:hAnsi="Arial" w:cs="Arial"/>
          <w:spacing w:val="-20"/>
        </w:rPr>
        <w:t xml:space="preserve"> </w:t>
      </w:r>
      <w:r w:rsidRPr="009F5A41">
        <w:rPr>
          <w:rFonts w:ascii="Arial" w:hAnsi="Arial" w:cs="Arial"/>
        </w:rPr>
        <w:t>con</w:t>
      </w:r>
      <w:r w:rsidRPr="009F5A41">
        <w:rPr>
          <w:rFonts w:ascii="Arial" w:hAnsi="Arial" w:cs="Arial"/>
          <w:spacing w:val="-19"/>
        </w:rPr>
        <w:t xml:space="preserve"> </w:t>
      </w:r>
      <w:r w:rsidRPr="009F5A41">
        <w:rPr>
          <w:rFonts w:ascii="Arial" w:hAnsi="Arial" w:cs="Arial"/>
        </w:rPr>
        <w:t>sentencia</w:t>
      </w:r>
      <w:r w:rsidRPr="009F5A41">
        <w:rPr>
          <w:rFonts w:ascii="Arial" w:hAnsi="Arial" w:cs="Arial"/>
          <w:spacing w:val="-20"/>
        </w:rPr>
        <w:t xml:space="preserve"> </w:t>
      </w:r>
      <w:r w:rsidRPr="009F5A41">
        <w:rPr>
          <w:rFonts w:ascii="Arial" w:hAnsi="Arial" w:cs="Arial"/>
        </w:rPr>
        <w:t>ejecutoriada</w:t>
      </w:r>
      <w:r w:rsidRPr="009F5A41">
        <w:rPr>
          <w:rFonts w:ascii="Arial" w:hAnsi="Arial" w:cs="Arial"/>
          <w:spacing w:val="-19"/>
        </w:rPr>
        <w:t xml:space="preserve"> </w:t>
      </w:r>
      <w:r w:rsidRPr="009F5A41">
        <w:rPr>
          <w:rFonts w:ascii="Arial" w:hAnsi="Arial" w:cs="Arial"/>
        </w:rPr>
        <w:t>a</w:t>
      </w:r>
      <w:r w:rsidRPr="009F5A41">
        <w:rPr>
          <w:rFonts w:ascii="Arial" w:hAnsi="Arial" w:cs="Arial"/>
          <w:spacing w:val="-19"/>
        </w:rPr>
        <w:t xml:space="preserve"> </w:t>
      </w:r>
      <w:r w:rsidRPr="009F5A41">
        <w:rPr>
          <w:rFonts w:ascii="Arial" w:hAnsi="Arial" w:cs="Arial"/>
        </w:rPr>
        <w:t>favor</w:t>
      </w:r>
      <w:r w:rsidRPr="009F5A41">
        <w:rPr>
          <w:rFonts w:ascii="Arial" w:hAnsi="Arial" w:cs="Arial"/>
          <w:spacing w:val="-20"/>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la SAE S.A.S. y la contrapartida en los ingresos de la entidad.</w:t>
      </w:r>
    </w:p>
    <w:p w:rsidR="00DD24A3" w:rsidRDefault="00DD24A3"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spacing w:val="-2"/>
        </w:rPr>
        <w:t>Incorrección</w:t>
      </w:r>
      <w:r w:rsidRPr="009F5A41">
        <w:rPr>
          <w:rFonts w:ascii="Arial" w:hAnsi="Arial" w:cs="Arial"/>
          <w:spacing w:val="-15"/>
        </w:rPr>
        <w:t xml:space="preserve"> </w:t>
      </w:r>
      <w:r w:rsidRPr="009F5A41">
        <w:rPr>
          <w:rFonts w:ascii="Arial" w:hAnsi="Arial" w:cs="Arial"/>
          <w:spacing w:val="-2"/>
        </w:rPr>
        <w:t>de</w:t>
      </w:r>
      <w:r w:rsidRPr="009F5A41">
        <w:rPr>
          <w:rFonts w:ascii="Arial" w:hAnsi="Arial" w:cs="Arial"/>
          <w:spacing w:val="-15"/>
        </w:rPr>
        <w:t xml:space="preserve"> </w:t>
      </w:r>
      <w:r w:rsidRPr="009F5A41">
        <w:rPr>
          <w:rFonts w:ascii="Arial" w:hAnsi="Arial" w:cs="Arial"/>
          <w:spacing w:val="-2"/>
        </w:rPr>
        <w:t>cantidad</w:t>
      </w:r>
      <w:r w:rsidRPr="009F5A41">
        <w:rPr>
          <w:rFonts w:ascii="Arial" w:hAnsi="Arial" w:cs="Arial"/>
          <w:spacing w:val="-15"/>
        </w:rPr>
        <w:t xml:space="preserve"> </w:t>
      </w:r>
      <w:r w:rsidRPr="009F5A41">
        <w:rPr>
          <w:rFonts w:ascii="Arial" w:hAnsi="Arial" w:cs="Arial"/>
          <w:spacing w:val="-2"/>
        </w:rPr>
        <w:t>en</w:t>
      </w:r>
      <w:r w:rsidRPr="009F5A41">
        <w:rPr>
          <w:rFonts w:ascii="Arial" w:hAnsi="Arial" w:cs="Arial"/>
          <w:spacing w:val="-15"/>
        </w:rPr>
        <w:t xml:space="preserve"> </w:t>
      </w:r>
      <w:r w:rsidRPr="009F5A41">
        <w:rPr>
          <w:rFonts w:ascii="Arial" w:hAnsi="Arial" w:cs="Arial"/>
          <w:spacing w:val="-2"/>
        </w:rPr>
        <w:t>las</w:t>
      </w:r>
      <w:r w:rsidRPr="009F5A41">
        <w:rPr>
          <w:rFonts w:ascii="Arial" w:hAnsi="Arial" w:cs="Arial"/>
          <w:spacing w:val="-15"/>
        </w:rPr>
        <w:t xml:space="preserve"> </w:t>
      </w:r>
      <w:r w:rsidRPr="009F5A41">
        <w:rPr>
          <w:rFonts w:ascii="Arial" w:hAnsi="Arial" w:cs="Arial"/>
          <w:spacing w:val="-2"/>
        </w:rPr>
        <w:t>cuentas</w:t>
      </w:r>
      <w:r w:rsidRPr="009F5A41">
        <w:rPr>
          <w:rFonts w:ascii="Arial" w:hAnsi="Arial" w:cs="Arial"/>
          <w:spacing w:val="-15"/>
        </w:rPr>
        <w:t xml:space="preserve"> </w:t>
      </w:r>
      <w:r w:rsidRPr="009F5A41">
        <w:rPr>
          <w:rFonts w:ascii="Arial" w:hAnsi="Arial" w:cs="Arial"/>
          <w:spacing w:val="-2"/>
        </w:rPr>
        <w:t>por</w:t>
      </w:r>
      <w:r w:rsidRPr="009F5A41">
        <w:rPr>
          <w:rFonts w:ascii="Arial" w:hAnsi="Arial" w:cs="Arial"/>
          <w:spacing w:val="-15"/>
        </w:rPr>
        <w:t xml:space="preserve"> </w:t>
      </w:r>
      <w:r w:rsidRPr="009F5A41">
        <w:rPr>
          <w:rFonts w:ascii="Arial" w:hAnsi="Arial" w:cs="Arial"/>
          <w:spacing w:val="-2"/>
        </w:rPr>
        <w:t>pagar</w:t>
      </w:r>
      <w:r w:rsidRPr="009F5A41">
        <w:rPr>
          <w:rFonts w:ascii="Arial" w:hAnsi="Arial" w:cs="Arial"/>
          <w:spacing w:val="-15"/>
        </w:rPr>
        <w:t xml:space="preserve"> </w:t>
      </w:r>
      <w:r w:rsidRPr="009F5A41">
        <w:rPr>
          <w:rFonts w:ascii="Arial" w:hAnsi="Arial" w:cs="Arial"/>
          <w:spacing w:val="-2"/>
        </w:rPr>
        <w:t>de</w:t>
      </w:r>
      <w:r w:rsidRPr="009F5A41">
        <w:rPr>
          <w:rFonts w:ascii="Arial" w:hAnsi="Arial" w:cs="Arial"/>
          <w:spacing w:val="-15"/>
        </w:rPr>
        <w:t xml:space="preserve"> </w:t>
      </w:r>
      <w:r w:rsidRPr="009F5A41">
        <w:rPr>
          <w:rFonts w:ascii="Arial" w:hAnsi="Arial" w:cs="Arial"/>
          <w:spacing w:val="-2"/>
        </w:rPr>
        <w:t>créditos</w:t>
      </w:r>
      <w:r w:rsidRPr="009F5A41">
        <w:rPr>
          <w:rFonts w:ascii="Arial" w:hAnsi="Arial" w:cs="Arial"/>
          <w:spacing w:val="-15"/>
        </w:rPr>
        <w:t xml:space="preserve"> </w:t>
      </w:r>
      <w:r w:rsidRPr="009F5A41">
        <w:rPr>
          <w:rFonts w:ascii="Arial" w:hAnsi="Arial" w:cs="Arial"/>
          <w:spacing w:val="-2"/>
        </w:rPr>
        <w:t xml:space="preserve">judiciales </w:t>
      </w:r>
      <w:r w:rsidRPr="009F5A41">
        <w:rPr>
          <w:rFonts w:ascii="Arial" w:hAnsi="Arial" w:cs="Arial"/>
        </w:rPr>
        <w:t>por $6.387,9 millones, debido a que el estado de situación financiera del Fondo para la Rehabilitación, Inversión Social y Lucha Contra el Crimen Organizado (FRISCO), a 31 de diciembre de 2022 reflejaba las cuentas por pagar de créditos judiciales, obligaciones a cargo de la Sociedad de Activos Especiales (SAE) S.A.S., contraviniendo lo establecido</w:t>
      </w:r>
      <w:r w:rsidRPr="009F5A41">
        <w:rPr>
          <w:rFonts w:ascii="Arial" w:hAnsi="Arial" w:cs="Arial"/>
          <w:spacing w:val="-10"/>
        </w:rPr>
        <w:t xml:space="preserve"> </w:t>
      </w:r>
      <w:r w:rsidRPr="009F5A41">
        <w:rPr>
          <w:rFonts w:ascii="Arial" w:hAnsi="Arial" w:cs="Arial"/>
        </w:rPr>
        <w:t>en</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Resolución</w:t>
      </w:r>
      <w:r w:rsidRPr="009F5A41">
        <w:rPr>
          <w:rFonts w:ascii="Arial" w:hAnsi="Arial" w:cs="Arial"/>
          <w:spacing w:val="-10"/>
        </w:rPr>
        <w:t xml:space="preserve"> </w:t>
      </w:r>
      <w:r w:rsidRPr="009F5A41">
        <w:rPr>
          <w:rFonts w:ascii="Arial" w:hAnsi="Arial" w:cs="Arial"/>
        </w:rPr>
        <w:t>116</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2017</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Contaduría</w:t>
      </w:r>
      <w:r w:rsidRPr="009F5A41">
        <w:rPr>
          <w:rFonts w:ascii="Arial" w:hAnsi="Arial" w:cs="Arial"/>
          <w:spacing w:val="-10"/>
        </w:rPr>
        <w:t xml:space="preserve"> </w:t>
      </w:r>
      <w:r w:rsidRPr="009F5A41">
        <w:rPr>
          <w:rFonts w:ascii="Arial" w:hAnsi="Arial" w:cs="Arial"/>
        </w:rPr>
        <w:t>General</w:t>
      </w:r>
      <w:r w:rsidRPr="009F5A41">
        <w:rPr>
          <w:rFonts w:ascii="Arial" w:hAnsi="Arial" w:cs="Arial"/>
          <w:spacing w:val="-10"/>
        </w:rPr>
        <w:t xml:space="preserve"> </w:t>
      </w:r>
      <w:r w:rsidRPr="009F5A41">
        <w:rPr>
          <w:rFonts w:ascii="Arial" w:hAnsi="Arial" w:cs="Arial"/>
        </w:rPr>
        <w:t>de la Nación, numeral 2.6; lo cual generó sobrestimación en los pasivos del FRISCO, por el registro de los procesos judiciales ejecutoriados en contra de otra entidad, afectando la razonabilidad de los estados financieros de la vigencia 2022.</w:t>
      </w:r>
    </w:p>
    <w:p w:rsidR="00DD24A3" w:rsidRDefault="00DD24A3"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9"/>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cantidad</w:t>
      </w:r>
      <w:r w:rsidRPr="009F5A41">
        <w:rPr>
          <w:rFonts w:ascii="Arial" w:hAnsi="Arial" w:cs="Arial"/>
          <w:spacing w:val="-9"/>
        </w:rPr>
        <w:t xml:space="preserve"> </w:t>
      </w:r>
      <w:r w:rsidRPr="009F5A41">
        <w:rPr>
          <w:rFonts w:ascii="Arial" w:hAnsi="Arial" w:cs="Arial"/>
        </w:rPr>
        <w:t>en</w:t>
      </w:r>
      <w:r w:rsidRPr="009F5A41">
        <w:rPr>
          <w:rFonts w:ascii="Arial" w:hAnsi="Arial" w:cs="Arial"/>
          <w:spacing w:val="-9"/>
        </w:rPr>
        <w:t xml:space="preserve"> </w:t>
      </w:r>
      <w:r w:rsidRPr="009F5A41">
        <w:rPr>
          <w:rFonts w:ascii="Arial" w:hAnsi="Arial" w:cs="Arial"/>
        </w:rPr>
        <w:t>las</w:t>
      </w:r>
      <w:r w:rsidRPr="009F5A41">
        <w:rPr>
          <w:rFonts w:ascii="Arial" w:hAnsi="Arial" w:cs="Arial"/>
          <w:spacing w:val="-9"/>
        </w:rPr>
        <w:t xml:space="preserve"> </w:t>
      </w:r>
      <w:r w:rsidRPr="009F5A41">
        <w:rPr>
          <w:rFonts w:ascii="Arial" w:hAnsi="Arial" w:cs="Arial"/>
        </w:rPr>
        <w:t>provisiones</w:t>
      </w:r>
      <w:r w:rsidRPr="009F5A41">
        <w:rPr>
          <w:rFonts w:ascii="Arial" w:hAnsi="Arial" w:cs="Arial"/>
          <w:spacing w:val="-9"/>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litigios</w:t>
      </w:r>
      <w:r w:rsidRPr="009F5A41">
        <w:rPr>
          <w:rFonts w:ascii="Arial" w:hAnsi="Arial" w:cs="Arial"/>
          <w:spacing w:val="-9"/>
        </w:rPr>
        <w:t xml:space="preserve"> </w:t>
      </w:r>
      <w:r w:rsidRPr="009F5A41">
        <w:rPr>
          <w:rFonts w:ascii="Arial" w:hAnsi="Arial" w:cs="Arial"/>
        </w:rPr>
        <w:t>y</w:t>
      </w:r>
      <w:r w:rsidRPr="009F5A41">
        <w:rPr>
          <w:rFonts w:ascii="Arial" w:hAnsi="Arial" w:cs="Arial"/>
          <w:spacing w:val="-9"/>
        </w:rPr>
        <w:t xml:space="preserve"> </w:t>
      </w:r>
      <w:r w:rsidRPr="009F5A41">
        <w:rPr>
          <w:rFonts w:ascii="Arial" w:hAnsi="Arial" w:cs="Arial"/>
        </w:rPr>
        <w:t>demandas</w:t>
      </w:r>
      <w:r w:rsidRPr="009F5A41">
        <w:rPr>
          <w:rFonts w:ascii="Arial" w:hAnsi="Arial" w:cs="Arial"/>
          <w:spacing w:val="-8"/>
        </w:rPr>
        <w:t xml:space="preserve"> </w:t>
      </w:r>
      <w:r w:rsidRPr="009F5A41">
        <w:rPr>
          <w:rFonts w:ascii="Arial" w:hAnsi="Arial" w:cs="Arial"/>
          <w:spacing w:val="-5"/>
        </w:rPr>
        <w:t>por</w:t>
      </w:r>
      <w:r>
        <w:rPr>
          <w:rFonts w:ascii="Arial" w:hAnsi="Arial" w:cs="Arial"/>
          <w:spacing w:val="-5"/>
        </w:rPr>
        <w:t xml:space="preserve"> </w:t>
      </w:r>
      <w:r w:rsidRPr="009F5A41">
        <w:rPr>
          <w:rFonts w:ascii="Arial" w:hAnsi="Arial" w:cs="Arial"/>
        </w:rPr>
        <w:t>$218.464,7 millones, debido a que el estado de situación financiera del Fondo para la Rehabilitación, Inversión Social y Lucha Contra el Crimen Organizado (FRISCO), a 31 de diciembre de 2022, reflejaba las provisiones de los litigios y demandas en contra de la Sociedad</w:t>
      </w:r>
      <w:r w:rsidRPr="009F5A41">
        <w:rPr>
          <w:rFonts w:ascii="Arial" w:hAnsi="Arial" w:cs="Arial"/>
          <w:spacing w:val="40"/>
        </w:rPr>
        <w:t xml:space="preserve"> </w:t>
      </w:r>
      <w:r w:rsidRPr="009F5A41">
        <w:rPr>
          <w:rFonts w:ascii="Arial" w:hAnsi="Arial" w:cs="Arial"/>
        </w:rPr>
        <w:t>de Activos Especiales (SAE) S.A.S., contraviniendo lo establecido en la Resolución 116 de 2017 de la Contaduría General de la Nación, numeral</w:t>
      </w:r>
      <w:r w:rsidRPr="009F5A41">
        <w:rPr>
          <w:rFonts w:ascii="Arial" w:hAnsi="Arial" w:cs="Arial"/>
          <w:spacing w:val="-13"/>
        </w:rPr>
        <w:t xml:space="preserve"> </w:t>
      </w:r>
      <w:r w:rsidRPr="009F5A41">
        <w:rPr>
          <w:rFonts w:ascii="Arial" w:hAnsi="Arial" w:cs="Arial"/>
        </w:rPr>
        <w:t>2.4;</w:t>
      </w:r>
      <w:r w:rsidRPr="009F5A41">
        <w:rPr>
          <w:rFonts w:ascii="Arial" w:hAnsi="Arial" w:cs="Arial"/>
          <w:spacing w:val="-13"/>
        </w:rPr>
        <w:t xml:space="preserve"> </w:t>
      </w:r>
      <w:r w:rsidRPr="009F5A41">
        <w:rPr>
          <w:rFonts w:ascii="Arial" w:hAnsi="Arial" w:cs="Arial"/>
        </w:rPr>
        <w:t>lo</w:t>
      </w:r>
      <w:r w:rsidRPr="009F5A41">
        <w:rPr>
          <w:rFonts w:ascii="Arial" w:hAnsi="Arial" w:cs="Arial"/>
          <w:spacing w:val="-13"/>
        </w:rPr>
        <w:t xml:space="preserve"> </w:t>
      </w:r>
      <w:r w:rsidRPr="009F5A41">
        <w:rPr>
          <w:rFonts w:ascii="Arial" w:hAnsi="Arial" w:cs="Arial"/>
        </w:rPr>
        <w:t>cual</w:t>
      </w:r>
      <w:r w:rsidRPr="009F5A41">
        <w:rPr>
          <w:rFonts w:ascii="Arial" w:hAnsi="Arial" w:cs="Arial"/>
          <w:spacing w:val="-13"/>
        </w:rPr>
        <w:t xml:space="preserve"> </w:t>
      </w:r>
      <w:r w:rsidRPr="009F5A41">
        <w:rPr>
          <w:rFonts w:ascii="Arial" w:hAnsi="Arial" w:cs="Arial"/>
        </w:rPr>
        <w:t>generó</w:t>
      </w:r>
      <w:r w:rsidRPr="009F5A41">
        <w:rPr>
          <w:rFonts w:ascii="Arial" w:hAnsi="Arial" w:cs="Arial"/>
          <w:spacing w:val="-13"/>
        </w:rPr>
        <w:t xml:space="preserve"> </w:t>
      </w:r>
      <w:r w:rsidRPr="009F5A41">
        <w:rPr>
          <w:rFonts w:ascii="Arial" w:hAnsi="Arial" w:cs="Arial"/>
        </w:rPr>
        <w:t>sobrestimación</w:t>
      </w:r>
      <w:r w:rsidRPr="009F5A41">
        <w:rPr>
          <w:rFonts w:ascii="Arial" w:hAnsi="Arial" w:cs="Arial"/>
          <w:spacing w:val="-13"/>
        </w:rPr>
        <w:t xml:space="preserve"> </w:t>
      </w:r>
      <w:r w:rsidRPr="009F5A41">
        <w:rPr>
          <w:rFonts w:ascii="Arial" w:hAnsi="Arial" w:cs="Arial"/>
        </w:rPr>
        <w:t>en</w:t>
      </w:r>
      <w:r w:rsidRPr="009F5A41">
        <w:rPr>
          <w:rFonts w:ascii="Arial" w:hAnsi="Arial" w:cs="Arial"/>
          <w:spacing w:val="-13"/>
        </w:rPr>
        <w:t xml:space="preserve"> </w:t>
      </w:r>
      <w:r w:rsidRPr="009F5A41">
        <w:rPr>
          <w:rFonts w:ascii="Arial" w:hAnsi="Arial" w:cs="Arial"/>
        </w:rPr>
        <w:t>los</w:t>
      </w:r>
      <w:r w:rsidRPr="009F5A41">
        <w:rPr>
          <w:rFonts w:ascii="Arial" w:hAnsi="Arial" w:cs="Arial"/>
          <w:spacing w:val="-13"/>
        </w:rPr>
        <w:t xml:space="preserve"> </w:t>
      </w:r>
      <w:r w:rsidRPr="009F5A41">
        <w:rPr>
          <w:rFonts w:ascii="Arial" w:hAnsi="Arial" w:cs="Arial"/>
        </w:rPr>
        <w:t>pasivos</w:t>
      </w:r>
      <w:r w:rsidRPr="009F5A41">
        <w:rPr>
          <w:rFonts w:ascii="Arial" w:hAnsi="Arial" w:cs="Arial"/>
          <w:spacing w:val="-13"/>
        </w:rPr>
        <w:t xml:space="preserve"> </w:t>
      </w:r>
      <w:r w:rsidRPr="009F5A41">
        <w:rPr>
          <w:rFonts w:ascii="Arial" w:hAnsi="Arial" w:cs="Arial"/>
        </w:rPr>
        <w:t>del</w:t>
      </w:r>
      <w:r w:rsidRPr="009F5A41">
        <w:rPr>
          <w:rFonts w:ascii="Arial" w:hAnsi="Arial" w:cs="Arial"/>
          <w:spacing w:val="-13"/>
        </w:rPr>
        <w:t xml:space="preserve"> </w:t>
      </w:r>
      <w:r w:rsidRPr="009F5A41">
        <w:rPr>
          <w:rFonts w:ascii="Arial" w:hAnsi="Arial" w:cs="Arial"/>
        </w:rPr>
        <w:t>FRISCO por</w:t>
      </w:r>
      <w:r w:rsidRPr="009F5A41">
        <w:rPr>
          <w:rFonts w:ascii="Arial" w:hAnsi="Arial" w:cs="Arial"/>
          <w:spacing w:val="-17"/>
        </w:rPr>
        <w:t xml:space="preserve"> </w:t>
      </w:r>
      <w:r w:rsidRPr="009F5A41">
        <w:rPr>
          <w:rFonts w:ascii="Arial" w:hAnsi="Arial" w:cs="Arial"/>
        </w:rPr>
        <w:t>registros</w:t>
      </w:r>
      <w:r w:rsidRPr="009F5A41">
        <w:rPr>
          <w:rFonts w:ascii="Arial" w:hAnsi="Arial" w:cs="Arial"/>
          <w:spacing w:val="-18"/>
        </w:rPr>
        <w:t xml:space="preserve"> </w:t>
      </w:r>
      <w:r w:rsidRPr="009F5A41">
        <w:rPr>
          <w:rFonts w:ascii="Arial" w:hAnsi="Arial" w:cs="Arial"/>
        </w:rPr>
        <w:t>contables</w:t>
      </w:r>
      <w:r w:rsidRPr="009F5A41">
        <w:rPr>
          <w:rFonts w:ascii="Arial" w:hAnsi="Arial" w:cs="Arial"/>
          <w:spacing w:val="-18"/>
        </w:rPr>
        <w:t xml:space="preserve"> </w:t>
      </w:r>
      <w:r w:rsidRPr="009F5A41">
        <w:rPr>
          <w:rFonts w:ascii="Arial" w:hAnsi="Arial" w:cs="Arial"/>
        </w:rPr>
        <w:t>que</w:t>
      </w:r>
      <w:r w:rsidRPr="009F5A41">
        <w:rPr>
          <w:rFonts w:ascii="Arial" w:hAnsi="Arial" w:cs="Arial"/>
          <w:spacing w:val="-18"/>
        </w:rPr>
        <w:t xml:space="preserve"> </w:t>
      </w:r>
      <w:r w:rsidRPr="009F5A41">
        <w:rPr>
          <w:rFonts w:ascii="Arial" w:hAnsi="Arial" w:cs="Arial"/>
        </w:rPr>
        <w:t>pertenecen</w:t>
      </w:r>
      <w:r w:rsidRPr="009F5A41">
        <w:rPr>
          <w:rFonts w:ascii="Arial" w:hAnsi="Arial" w:cs="Arial"/>
          <w:spacing w:val="-18"/>
        </w:rPr>
        <w:t xml:space="preserve"> </w:t>
      </w:r>
      <w:r w:rsidRPr="009F5A41">
        <w:rPr>
          <w:rFonts w:ascii="Arial" w:hAnsi="Arial" w:cs="Arial"/>
        </w:rPr>
        <w:t>a</w:t>
      </w:r>
      <w:r w:rsidRPr="009F5A41">
        <w:rPr>
          <w:rFonts w:ascii="Arial" w:hAnsi="Arial" w:cs="Arial"/>
          <w:spacing w:val="-17"/>
        </w:rPr>
        <w:t xml:space="preserve"> </w:t>
      </w:r>
      <w:r w:rsidRPr="009F5A41">
        <w:rPr>
          <w:rFonts w:ascii="Arial" w:hAnsi="Arial" w:cs="Arial"/>
        </w:rPr>
        <w:t>otra</w:t>
      </w:r>
      <w:r w:rsidRPr="009F5A41">
        <w:rPr>
          <w:rFonts w:ascii="Arial" w:hAnsi="Arial" w:cs="Arial"/>
          <w:spacing w:val="-17"/>
        </w:rPr>
        <w:t xml:space="preserve"> </w:t>
      </w:r>
      <w:r w:rsidRPr="009F5A41">
        <w:rPr>
          <w:rFonts w:ascii="Arial" w:hAnsi="Arial" w:cs="Arial"/>
        </w:rPr>
        <w:t>entidad,</w:t>
      </w:r>
      <w:r w:rsidRPr="009F5A41">
        <w:rPr>
          <w:rFonts w:ascii="Arial" w:hAnsi="Arial" w:cs="Arial"/>
          <w:spacing w:val="-18"/>
        </w:rPr>
        <w:t xml:space="preserve"> </w:t>
      </w:r>
      <w:r w:rsidRPr="009F5A41">
        <w:rPr>
          <w:rFonts w:ascii="Arial" w:hAnsi="Arial" w:cs="Arial"/>
        </w:rPr>
        <w:t>lo</w:t>
      </w:r>
      <w:r w:rsidRPr="009F5A41">
        <w:rPr>
          <w:rFonts w:ascii="Arial" w:hAnsi="Arial" w:cs="Arial"/>
          <w:spacing w:val="-17"/>
        </w:rPr>
        <w:t xml:space="preserve"> </w:t>
      </w:r>
      <w:r w:rsidRPr="009F5A41">
        <w:rPr>
          <w:rFonts w:ascii="Arial" w:hAnsi="Arial" w:cs="Arial"/>
        </w:rPr>
        <w:t>cual</w:t>
      </w:r>
      <w:r w:rsidRPr="009F5A41">
        <w:rPr>
          <w:rFonts w:ascii="Arial" w:hAnsi="Arial" w:cs="Arial"/>
          <w:spacing w:val="-18"/>
        </w:rPr>
        <w:t xml:space="preserve"> </w:t>
      </w:r>
      <w:r w:rsidRPr="009F5A41">
        <w:rPr>
          <w:rFonts w:ascii="Arial" w:hAnsi="Arial" w:cs="Arial"/>
        </w:rPr>
        <w:t>afectó</w:t>
      </w:r>
      <w:r w:rsidRPr="009F5A41">
        <w:rPr>
          <w:rFonts w:ascii="Arial" w:hAnsi="Arial" w:cs="Arial"/>
          <w:spacing w:val="-18"/>
        </w:rPr>
        <w:t xml:space="preserve"> </w:t>
      </w:r>
      <w:r w:rsidRPr="009F5A41">
        <w:rPr>
          <w:rFonts w:ascii="Arial" w:hAnsi="Arial" w:cs="Arial"/>
        </w:rPr>
        <w:t>la razonabilidad de los estados financieros de la vigencia 2022.</w:t>
      </w:r>
    </w:p>
    <w:p w:rsidR="00DD24A3" w:rsidRDefault="00DD24A3"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7"/>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cantidad</w:t>
      </w:r>
      <w:r w:rsidRPr="009F5A41">
        <w:rPr>
          <w:rFonts w:ascii="Arial" w:hAnsi="Arial" w:cs="Arial"/>
          <w:spacing w:val="-7"/>
        </w:rPr>
        <w:t xml:space="preserve"> </w:t>
      </w:r>
      <w:r w:rsidRPr="009F5A41">
        <w:rPr>
          <w:rFonts w:ascii="Arial" w:hAnsi="Arial" w:cs="Arial"/>
        </w:rPr>
        <w:t>en</w:t>
      </w:r>
      <w:r w:rsidRPr="009F5A41">
        <w:rPr>
          <w:rFonts w:ascii="Arial" w:hAnsi="Arial" w:cs="Arial"/>
          <w:spacing w:val="-7"/>
        </w:rPr>
        <w:t xml:space="preserve"> </w:t>
      </w:r>
      <w:r w:rsidRPr="009F5A41">
        <w:rPr>
          <w:rFonts w:ascii="Arial" w:hAnsi="Arial" w:cs="Arial"/>
        </w:rPr>
        <w:t>las</w:t>
      </w:r>
      <w:r w:rsidRPr="009F5A41">
        <w:rPr>
          <w:rFonts w:ascii="Arial" w:hAnsi="Arial" w:cs="Arial"/>
          <w:spacing w:val="-7"/>
        </w:rPr>
        <w:t xml:space="preserve"> </w:t>
      </w:r>
      <w:r w:rsidRPr="009F5A41">
        <w:rPr>
          <w:rFonts w:ascii="Arial" w:hAnsi="Arial" w:cs="Arial"/>
        </w:rPr>
        <w:t>cuentas</w:t>
      </w:r>
      <w:r w:rsidRPr="009F5A41">
        <w:rPr>
          <w:rFonts w:ascii="Arial" w:hAnsi="Arial" w:cs="Arial"/>
          <w:spacing w:val="-8"/>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orden</w:t>
      </w:r>
      <w:r w:rsidRPr="009F5A41">
        <w:rPr>
          <w:rFonts w:ascii="Arial" w:hAnsi="Arial" w:cs="Arial"/>
          <w:spacing w:val="-7"/>
        </w:rPr>
        <w:t xml:space="preserve"> </w:t>
      </w:r>
      <w:r w:rsidRPr="009F5A41">
        <w:rPr>
          <w:rFonts w:ascii="Arial" w:hAnsi="Arial" w:cs="Arial"/>
        </w:rPr>
        <w:t>deudoras</w:t>
      </w:r>
      <w:r w:rsidRPr="009F5A41">
        <w:rPr>
          <w:rFonts w:ascii="Arial" w:hAnsi="Arial" w:cs="Arial"/>
          <w:spacing w:val="-7"/>
        </w:rPr>
        <w:t xml:space="preserve"> </w:t>
      </w:r>
      <w:r w:rsidRPr="009F5A41">
        <w:rPr>
          <w:rFonts w:ascii="Arial" w:hAnsi="Arial" w:cs="Arial"/>
        </w:rPr>
        <w:t>de</w:t>
      </w:r>
      <w:r w:rsidRPr="009F5A41">
        <w:rPr>
          <w:rFonts w:ascii="Arial" w:hAnsi="Arial" w:cs="Arial"/>
          <w:spacing w:val="-7"/>
        </w:rPr>
        <w:t xml:space="preserve"> </w:t>
      </w:r>
      <w:r w:rsidRPr="009F5A41">
        <w:rPr>
          <w:rFonts w:ascii="Arial" w:hAnsi="Arial" w:cs="Arial"/>
        </w:rPr>
        <w:t xml:space="preserve">activos </w:t>
      </w:r>
      <w:r w:rsidRPr="009F5A41">
        <w:rPr>
          <w:rFonts w:ascii="Arial" w:hAnsi="Arial" w:cs="Arial"/>
          <w:spacing w:val="-2"/>
        </w:rPr>
        <w:t>contingentes</w:t>
      </w:r>
      <w:r w:rsidRPr="009F5A41">
        <w:rPr>
          <w:rFonts w:ascii="Arial" w:hAnsi="Arial" w:cs="Arial"/>
          <w:spacing w:val="-8"/>
        </w:rPr>
        <w:t xml:space="preserve"> </w:t>
      </w:r>
      <w:r w:rsidRPr="009F5A41">
        <w:rPr>
          <w:rFonts w:ascii="Arial" w:hAnsi="Arial" w:cs="Arial"/>
          <w:spacing w:val="-2"/>
        </w:rPr>
        <w:t>referente</w:t>
      </w:r>
      <w:r w:rsidRPr="009F5A41">
        <w:rPr>
          <w:rFonts w:ascii="Arial" w:hAnsi="Arial" w:cs="Arial"/>
          <w:spacing w:val="-9"/>
        </w:rPr>
        <w:t xml:space="preserve"> </w:t>
      </w:r>
      <w:r w:rsidRPr="009F5A41">
        <w:rPr>
          <w:rFonts w:ascii="Arial" w:hAnsi="Arial" w:cs="Arial"/>
          <w:spacing w:val="-2"/>
        </w:rPr>
        <w:t>a</w:t>
      </w:r>
      <w:r w:rsidRPr="009F5A41">
        <w:rPr>
          <w:rFonts w:ascii="Arial" w:hAnsi="Arial" w:cs="Arial"/>
          <w:spacing w:val="-8"/>
        </w:rPr>
        <w:t xml:space="preserve"> </w:t>
      </w:r>
      <w:r w:rsidRPr="009F5A41">
        <w:rPr>
          <w:rFonts w:ascii="Arial" w:hAnsi="Arial" w:cs="Arial"/>
          <w:spacing w:val="-2"/>
        </w:rPr>
        <w:t>litigios</w:t>
      </w:r>
      <w:r w:rsidRPr="009F5A41">
        <w:rPr>
          <w:rFonts w:ascii="Arial" w:hAnsi="Arial" w:cs="Arial"/>
          <w:spacing w:val="-8"/>
        </w:rPr>
        <w:t xml:space="preserve"> </w:t>
      </w:r>
      <w:r w:rsidRPr="009F5A41">
        <w:rPr>
          <w:rFonts w:ascii="Arial" w:hAnsi="Arial" w:cs="Arial"/>
          <w:spacing w:val="-2"/>
        </w:rPr>
        <w:t>y</w:t>
      </w:r>
      <w:r w:rsidRPr="009F5A41">
        <w:rPr>
          <w:rFonts w:ascii="Arial" w:hAnsi="Arial" w:cs="Arial"/>
          <w:spacing w:val="-8"/>
        </w:rPr>
        <w:t xml:space="preserve"> </w:t>
      </w:r>
      <w:r w:rsidRPr="009F5A41">
        <w:rPr>
          <w:rFonts w:ascii="Arial" w:hAnsi="Arial" w:cs="Arial"/>
          <w:spacing w:val="-2"/>
        </w:rPr>
        <w:t>mecanismos</w:t>
      </w:r>
      <w:r w:rsidRPr="009F5A41">
        <w:rPr>
          <w:rFonts w:ascii="Arial" w:hAnsi="Arial" w:cs="Arial"/>
          <w:spacing w:val="-8"/>
        </w:rPr>
        <w:t xml:space="preserve"> </w:t>
      </w:r>
      <w:r w:rsidRPr="009F5A41">
        <w:rPr>
          <w:rFonts w:ascii="Arial" w:hAnsi="Arial" w:cs="Arial"/>
          <w:spacing w:val="-2"/>
        </w:rPr>
        <w:t>alternativos</w:t>
      </w:r>
      <w:r w:rsidRPr="009F5A41">
        <w:rPr>
          <w:rFonts w:ascii="Arial" w:hAnsi="Arial" w:cs="Arial"/>
          <w:spacing w:val="-8"/>
        </w:rPr>
        <w:t xml:space="preserve"> </w:t>
      </w:r>
      <w:r w:rsidRPr="009F5A41">
        <w:rPr>
          <w:rFonts w:ascii="Arial" w:hAnsi="Arial" w:cs="Arial"/>
          <w:spacing w:val="-2"/>
        </w:rPr>
        <w:t>de</w:t>
      </w:r>
      <w:r w:rsidRPr="009F5A41">
        <w:rPr>
          <w:rFonts w:ascii="Arial" w:hAnsi="Arial" w:cs="Arial"/>
          <w:spacing w:val="-8"/>
        </w:rPr>
        <w:t xml:space="preserve"> </w:t>
      </w:r>
      <w:r w:rsidRPr="009F5A41">
        <w:rPr>
          <w:rFonts w:ascii="Arial" w:hAnsi="Arial" w:cs="Arial"/>
          <w:spacing w:val="-2"/>
        </w:rPr>
        <w:t xml:space="preserve">solución </w:t>
      </w:r>
      <w:r w:rsidRPr="009F5A41">
        <w:rPr>
          <w:rFonts w:ascii="Arial" w:hAnsi="Arial" w:cs="Arial"/>
        </w:rPr>
        <w:t>de conflictos por $134.325,2 millones, debido a que el estado de situación</w:t>
      </w:r>
      <w:r w:rsidRPr="009F5A41">
        <w:rPr>
          <w:rFonts w:ascii="Arial" w:hAnsi="Arial" w:cs="Arial"/>
          <w:spacing w:val="-1"/>
        </w:rPr>
        <w:t xml:space="preserve"> </w:t>
      </w:r>
      <w:r w:rsidRPr="009F5A41">
        <w:rPr>
          <w:rFonts w:ascii="Arial" w:hAnsi="Arial" w:cs="Arial"/>
        </w:rPr>
        <w:t>financiera</w:t>
      </w:r>
      <w:r w:rsidRPr="009F5A41">
        <w:rPr>
          <w:rFonts w:ascii="Arial" w:hAnsi="Arial" w:cs="Arial"/>
          <w:spacing w:val="-1"/>
        </w:rPr>
        <w:t xml:space="preserve"> </w:t>
      </w:r>
      <w:r w:rsidRPr="009F5A41">
        <w:rPr>
          <w:rFonts w:ascii="Arial" w:hAnsi="Arial" w:cs="Arial"/>
        </w:rPr>
        <w:t>del</w:t>
      </w:r>
      <w:r w:rsidRPr="009F5A41">
        <w:rPr>
          <w:rFonts w:ascii="Arial" w:hAnsi="Arial" w:cs="Arial"/>
          <w:spacing w:val="-1"/>
        </w:rPr>
        <w:t xml:space="preserve"> </w:t>
      </w:r>
      <w:r w:rsidRPr="009F5A41">
        <w:rPr>
          <w:rFonts w:ascii="Arial" w:hAnsi="Arial" w:cs="Arial"/>
        </w:rPr>
        <w:t>Fondo</w:t>
      </w:r>
      <w:r w:rsidRPr="009F5A41">
        <w:rPr>
          <w:rFonts w:ascii="Arial" w:hAnsi="Arial" w:cs="Arial"/>
          <w:spacing w:val="-1"/>
        </w:rPr>
        <w:t xml:space="preserve"> </w:t>
      </w:r>
      <w:r w:rsidRPr="009F5A41">
        <w:rPr>
          <w:rFonts w:ascii="Arial" w:hAnsi="Arial" w:cs="Arial"/>
        </w:rPr>
        <w:t>para</w:t>
      </w:r>
      <w:r w:rsidRPr="009F5A41">
        <w:rPr>
          <w:rFonts w:ascii="Arial" w:hAnsi="Arial" w:cs="Arial"/>
          <w:spacing w:val="-1"/>
        </w:rPr>
        <w:t xml:space="preserve"> </w:t>
      </w:r>
      <w:r w:rsidRPr="009F5A41">
        <w:rPr>
          <w:rFonts w:ascii="Arial" w:hAnsi="Arial" w:cs="Arial"/>
        </w:rPr>
        <w:t>la Rehabilitación,</w:t>
      </w:r>
      <w:r w:rsidRPr="009F5A41">
        <w:rPr>
          <w:rFonts w:ascii="Arial" w:hAnsi="Arial" w:cs="Arial"/>
          <w:spacing w:val="-1"/>
        </w:rPr>
        <w:t xml:space="preserve"> </w:t>
      </w:r>
      <w:r w:rsidRPr="009F5A41">
        <w:rPr>
          <w:rFonts w:ascii="Arial" w:hAnsi="Arial" w:cs="Arial"/>
        </w:rPr>
        <w:t>Inversión</w:t>
      </w:r>
      <w:r w:rsidRPr="009F5A41">
        <w:rPr>
          <w:rFonts w:ascii="Arial" w:hAnsi="Arial" w:cs="Arial"/>
          <w:spacing w:val="-1"/>
        </w:rPr>
        <w:t xml:space="preserve"> </w:t>
      </w:r>
      <w:r w:rsidRPr="009F5A41">
        <w:rPr>
          <w:rFonts w:ascii="Arial" w:hAnsi="Arial" w:cs="Arial"/>
        </w:rPr>
        <w:t>Social y</w:t>
      </w:r>
      <w:r w:rsidRPr="009F5A41">
        <w:rPr>
          <w:rFonts w:ascii="Arial" w:hAnsi="Arial" w:cs="Arial"/>
          <w:spacing w:val="-9"/>
        </w:rPr>
        <w:t xml:space="preserve"> </w:t>
      </w:r>
      <w:r w:rsidRPr="009F5A41">
        <w:rPr>
          <w:rFonts w:ascii="Arial" w:hAnsi="Arial" w:cs="Arial"/>
        </w:rPr>
        <w:t>Lucha</w:t>
      </w:r>
      <w:r w:rsidRPr="009F5A41">
        <w:rPr>
          <w:rFonts w:ascii="Arial" w:hAnsi="Arial" w:cs="Arial"/>
          <w:spacing w:val="-9"/>
        </w:rPr>
        <w:t xml:space="preserve"> </w:t>
      </w:r>
      <w:r w:rsidRPr="009F5A41">
        <w:rPr>
          <w:rFonts w:ascii="Arial" w:hAnsi="Arial" w:cs="Arial"/>
        </w:rPr>
        <w:t>Contra</w:t>
      </w:r>
      <w:r w:rsidRPr="009F5A41">
        <w:rPr>
          <w:rFonts w:ascii="Arial" w:hAnsi="Arial" w:cs="Arial"/>
          <w:spacing w:val="-9"/>
        </w:rPr>
        <w:t xml:space="preserve"> </w:t>
      </w:r>
      <w:r w:rsidRPr="009F5A41">
        <w:rPr>
          <w:rFonts w:ascii="Arial" w:hAnsi="Arial" w:cs="Arial"/>
        </w:rPr>
        <w:t>el</w:t>
      </w:r>
      <w:r w:rsidRPr="009F5A41">
        <w:rPr>
          <w:rFonts w:ascii="Arial" w:hAnsi="Arial" w:cs="Arial"/>
          <w:spacing w:val="-9"/>
        </w:rPr>
        <w:t xml:space="preserve"> </w:t>
      </w:r>
      <w:r w:rsidRPr="009F5A41">
        <w:rPr>
          <w:rFonts w:ascii="Arial" w:hAnsi="Arial" w:cs="Arial"/>
        </w:rPr>
        <w:t>Crimen</w:t>
      </w:r>
      <w:r w:rsidRPr="009F5A41">
        <w:rPr>
          <w:rFonts w:ascii="Arial" w:hAnsi="Arial" w:cs="Arial"/>
          <w:spacing w:val="-9"/>
        </w:rPr>
        <w:t xml:space="preserve"> </w:t>
      </w:r>
      <w:r w:rsidRPr="009F5A41">
        <w:rPr>
          <w:rFonts w:ascii="Arial" w:hAnsi="Arial" w:cs="Arial"/>
        </w:rPr>
        <w:t>Organizado</w:t>
      </w:r>
      <w:r w:rsidRPr="009F5A41">
        <w:rPr>
          <w:rFonts w:ascii="Arial" w:hAnsi="Arial" w:cs="Arial"/>
          <w:spacing w:val="-9"/>
        </w:rPr>
        <w:t xml:space="preserve"> </w:t>
      </w:r>
      <w:r w:rsidRPr="009F5A41">
        <w:rPr>
          <w:rFonts w:ascii="Arial" w:hAnsi="Arial" w:cs="Arial"/>
        </w:rPr>
        <w:t>(FRISCO),</w:t>
      </w:r>
      <w:r w:rsidRPr="009F5A41">
        <w:rPr>
          <w:rFonts w:ascii="Arial" w:hAnsi="Arial" w:cs="Arial"/>
          <w:spacing w:val="-9"/>
        </w:rPr>
        <w:t xml:space="preserve"> </w:t>
      </w:r>
      <w:r w:rsidRPr="009F5A41">
        <w:rPr>
          <w:rFonts w:ascii="Arial" w:hAnsi="Arial" w:cs="Arial"/>
        </w:rPr>
        <w:t>a</w:t>
      </w:r>
      <w:r w:rsidRPr="009F5A41">
        <w:rPr>
          <w:rFonts w:ascii="Arial" w:hAnsi="Arial" w:cs="Arial"/>
          <w:spacing w:val="-9"/>
        </w:rPr>
        <w:t xml:space="preserve"> </w:t>
      </w:r>
      <w:r w:rsidRPr="009F5A41">
        <w:rPr>
          <w:rFonts w:ascii="Arial" w:hAnsi="Arial" w:cs="Arial"/>
        </w:rPr>
        <w:t>31</w:t>
      </w:r>
      <w:r w:rsidRPr="009F5A41">
        <w:rPr>
          <w:rFonts w:ascii="Arial" w:hAnsi="Arial" w:cs="Arial"/>
          <w:spacing w:val="-9"/>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diciembre</w:t>
      </w:r>
      <w:r w:rsidRPr="009F5A41">
        <w:rPr>
          <w:rFonts w:ascii="Arial" w:hAnsi="Arial" w:cs="Arial"/>
          <w:spacing w:val="-9"/>
        </w:rPr>
        <w:t xml:space="preserve"> </w:t>
      </w:r>
      <w:r w:rsidRPr="009F5A41">
        <w:rPr>
          <w:rFonts w:ascii="Arial" w:hAnsi="Arial" w:cs="Arial"/>
        </w:rPr>
        <w:t>de 2022,</w:t>
      </w:r>
      <w:r w:rsidRPr="009F5A41">
        <w:rPr>
          <w:rFonts w:ascii="Arial" w:hAnsi="Arial" w:cs="Arial"/>
          <w:spacing w:val="-3"/>
        </w:rPr>
        <w:t xml:space="preserve"> </w:t>
      </w:r>
      <w:r w:rsidRPr="009F5A41">
        <w:rPr>
          <w:rFonts w:ascii="Arial" w:hAnsi="Arial" w:cs="Arial"/>
        </w:rPr>
        <w:t>reflejaba</w:t>
      </w:r>
      <w:r w:rsidRPr="009F5A41">
        <w:rPr>
          <w:rFonts w:ascii="Arial" w:hAnsi="Arial" w:cs="Arial"/>
          <w:spacing w:val="-2"/>
        </w:rPr>
        <w:t xml:space="preserve"> </w:t>
      </w:r>
      <w:r w:rsidRPr="009F5A41">
        <w:rPr>
          <w:rFonts w:ascii="Arial" w:hAnsi="Arial" w:cs="Arial"/>
        </w:rPr>
        <w:t>los</w:t>
      </w:r>
      <w:r w:rsidRPr="009F5A41">
        <w:rPr>
          <w:rFonts w:ascii="Arial" w:hAnsi="Arial" w:cs="Arial"/>
          <w:spacing w:val="-2"/>
        </w:rPr>
        <w:t xml:space="preserve"> </w:t>
      </w:r>
      <w:r w:rsidRPr="009F5A41">
        <w:rPr>
          <w:rFonts w:ascii="Arial" w:hAnsi="Arial" w:cs="Arial"/>
        </w:rPr>
        <w:t>activos</w:t>
      </w:r>
      <w:r w:rsidRPr="009F5A41">
        <w:rPr>
          <w:rFonts w:ascii="Arial" w:hAnsi="Arial" w:cs="Arial"/>
          <w:spacing w:val="-2"/>
        </w:rPr>
        <w:t xml:space="preserve"> </w:t>
      </w:r>
      <w:r w:rsidRPr="009F5A41">
        <w:rPr>
          <w:rFonts w:ascii="Arial" w:hAnsi="Arial" w:cs="Arial"/>
        </w:rPr>
        <w:t>contingentes</w:t>
      </w:r>
      <w:r w:rsidRPr="009F5A41">
        <w:rPr>
          <w:rFonts w:ascii="Arial" w:hAnsi="Arial" w:cs="Arial"/>
          <w:spacing w:val="-3"/>
        </w:rPr>
        <w:t xml:space="preserve"> </w:t>
      </w:r>
      <w:r w:rsidRPr="009F5A41">
        <w:rPr>
          <w:rFonts w:ascii="Arial" w:hAnsi="Arial" w:cs="Arial"/>
        </w:rPr>
        <w:t>de</w:t>
      </w:r>
      <w:r w:rsidRPr="009F5A41">
        <w:rPr>
          <w:rFonts w:ascii="Arial" w:hAnsi="Arial" w:cs="Arial"/>
          <w:spacing w:val="-2"/>
        </w:rPr>
        <w:t xml:space="preserve"> </w:t>
      </w:r>
      <w:r w:rsidRPr="009F5A41">
        <w:rPr>
          <w:rFonts w:ascii="Arial" w:hAnsi="Arial" w:cs="Arial"/>
        </w:rPr>
        <w:t>litigios</w:t>
      </w:r>
      <w:r w:rsidRPr="009F5A41">
        <w:rPr>
          <w:rFonts w:ascii="Arial" w:hAnsi="Arial" w:cs="Arial"/>
          <w:spacing w:val="40"/>
        </w:rPr>
        <w:t xml:space="preserve"> </w:t>
      </w:r>
      <w:r w:rsidRPr="009F5A41">
        <w:rPr>
          <w:rFonts w:ascii="Arial" w:hAnsi="Arial" w:cs="Arial"/>
        </w:rPr>
        <w:t>que</w:t>
      </w:r>
      <w:r w:rsidRPr="009F5A41">
        <w:rPr>
          <w:rFonts w:ascii="Arial" w:hAnsi="Arial" w:cs="Arial"/>
          <w:spacing w:val="-2"/>
        </w:rPr>
        <w:t xml:space="preserve"> </w:t>
      </w:r>
      <w:r w:rsidRPr="009F5A41">
        <w:rPr>
          <w:rFonts w:ascii="Arial" w:hAnsi="Arial" w:cs="Arial"/>
        </w:rPr>
        <w:t>corresponden a la Sociedad de Activos Especiales (SAE) S.A.S., contraviniendo lo establecido</w:t>
      </w:r>
      <w:r w:rsidRPr="009F5A41">
        <w:rPr>
          <w:rFonts w:ascii="Arial" w:hAnsi="Arial" w:cs="Arial"/>
          <w:spacing w:val="-10"/>
        </w:rPr>
        <w:t xml:space="preserve"> </w:t>
      </w:r>
      <w:r w:rsidRPr="009F5A41">
        <w:rPr>
          <w:rFonts w:ascii="Arial" w:hAnsi="Arial" w:cs="Arial"/>
        </w:rPr>
        <w:t>en</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Resolución</w:t>
      </w:r>
      <w:r w:rsidRPr="009F5A41">
        <w:rPr>
          <w:rFonts w:ascii="Arial" w:hAnsi="Arial" w:cs="Arial"/>
          <w:spacing w:val="-10"/>
        </w:rPr>
        <w:t xml:space="preserve"> </w:t>
      </w:r>
      <w:r w:rsidRPr="009F5A41">
        <w:rPr>
          <w:rFonts w:ascii="Arial" w:hAnsi="Arial" w:cs="Arial"/>
        </w:rPr>
        <w:t>116</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2017</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Contaduría</w:t>
      </w:r>
      <w:r w:rsidRPr="009F5A41">
        <w:rPr>
          <w:rFonts w:ascii="Arial" w:hAnsi="Arial" w:cs="Arial"/>
          <w:spacing w:val="-10"/>
        </w:rPr>
        <w:t xml:space="preserve"> </w:t>
      </w:r>
      <w:r w:rsidRPr="009F5A41">
        <w:rPr>
          <w:rFonts w:ascii="Arial" w:hAnsi="Arial" w:cs="Arial"/>
        </w:rPr>
        <w:t>General</w:t>
      </w:r>
      <w:r w:rsidRPr="009F5A41">
        <w:rPr>
          <w:rFonts w:ascii="Arial" w:hAnsi="Arial" w:cs="Arial"/>
          <w:spacing w:val="-10"/>
        </w:rPr>
        <w:t xml:space="preserve"> </w:t>
      </w:r>
      <w:r w:rsidRPr="009F5A41">
        <w:rPr>
          <w:rFonts w:ascii="Arial" w:hAnsi="Arial" w:cs="Arial"/>
        </w:rPr>
        <w:t>de la Nación, numeral 2.4, lo cual generó sobrestimación de las cuentas de orden deudoras en los activos contingentes.</w:t>
      </w:r>
    </w:p>
    <w:p w:rsidR="00DD24A3" w:rsidRDefault="00DD24A3"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rPr>
        <w:t>Incorrección de cantidad en cuentas de orden acreedoras de pasivos contingentes por litigios y mecanismos alternativos de solución de conflictos por $1.627.338,3 millones, debido a que el estado de situación</w:t>
      </w:r>
      <w:r w:rsidRPr="009F5A41">
        <w:rPr>
          <w:rFonts w:ascii="Arial" w:hAnsi="Arial" w:cs="Arial"/>
          <w:spacing w:val="-1"/>
        </w:rPr>
        <w:t xml:space="preserve"> </w:t>
      </w:r>
      <w:r w:rsidRPr="009F5A41">
        <w:rPr>
          <w:rFonts w:ascii="Arial" w:hAnsi="Arial" w:cs="Arial"/>
        </w:rPr>
        <w:t>financiera</w:t>
      </w:r>
      <w:r w:rsidRPr="009F5A41">
        <w:rPr>
          <w:rFonts w:ascii="Arial" w:hAnsi="Arial" w:cs="Arial"/>
          <w:spacing w:val="-1"/>
        </w:rPr>
        <w:t xml:space="preserve"> </w:t>
      </w:r>
      <w:r w:rsidRPr="009F5A41">
        <w:rPr>
          <w:rFonts w:ascii="Arial" w:hAnsi="Arial" w:cs="Arial"/>
        </w:rPr>
        <w:t>del</w:t>
      </w:r>
      <w:r w:rsidRPr="009F5A41">
        <w:rPr>
          <w:rFonts w:ascii="Arial" w:hAnsi="Arial" w:cs="Arial"/>
          <w:spacing w:val="-1"/>
        </w:rPr>
        <w:t xml:space="preserve"> </w:t>
      </w:r>
      <w:r w:rsidRPr="009F5A41">
        <w:rPr>
          <w:rFonts w:ascii="Arial" w:hAnsi="Arial" w:cs="Arial"/>
        </w:rPr>
        <w:t>Fondo</w:t>
      </w:r>
      <w:r w:rsidRPr="009F5A41">
        <w:rPr>
          <w:rFonts w:ascii="Arial" w:hAnsi="Arial" w:cs="Arial"/>
          <w:spacing w:val="-1"/>
        </w:rPr>
        <w:t xml:space="preserve"> </w:t>
      </w:r>
      <w:r w:rsidRPr="009F5A41">
        <w:rPr>
          <w:rFonts w:ascii="Arial" w:hAnsi="Arial" w:cs="Arial"/>
        </w:rPr>
        <w:t>para</w:t>
      </w:r>
      <w:r w:rsidRPr="009F5A41">
        <w:rPr>
          <w:rFonts w:ascii="Arial" w:hAnsi="Arial" w:cs="Arial"/>
          <w:spacing w:val="-1"/>
        </w:rPr>
        <w:t xml:space="preserve"> </w:t>
      </w:r>
      <w:r w:rsidRPr="009F5A41">
        <w:rPr>
          <w:rFonts w:ascii="Arial" w:hAnsi="Arial" w:cs="Arial"/>
        </w:rPr>
        <w:t>la Rehabilitación,</w:t>
      </w:r>
      <w:r w:rsidRPr="009F5A41">
        <w:rPr>
          <w:rFonts w:ascii="Arial" w:hAnsi="Arial" w:cs="Arial"/>
          <w:spacing w:val="-1"/>
        </w:rPr>
        <w:t xml:space="preserve"> </w:t>
      </w:r>
      <w:r w:rsidRPr="009F5A41">
        <w:rPr>
          <w:rFonts w:ascii="Arial" w:hAnsi="Arial" w:cs="Arial"/>
        </w:rPr>
        <w:t>Inversión</w:t>
      </w:r>
      <w:r w:rsidRPr="009F5A41">
        <w:rPr>
          <w:rFonts w:ascii="Arial" w:hAnsi="Arial" w:cs="Arial"/>
          <w:spacing w:val="-1"/>
        </w:rPr>
        <w:t xml:space="preserve"> </w:t>
      </w:r>
      <w:r w:rsidRPr="009F5A41">
        <w:rPr>
          <w:rFonts w:ascii="Arial" w:hAnsi="Arial" w:cs="Arial"/>
        </w:rPr>
        <w:t>Social y</w:t>
      </w:r>
      <w:r w:rsidRPr="009F5A41">
        <w:rPr>
          <w:rFonts w:ascii="Arial" w:hAnsi="Arial" w:cs="Arial"/>
          <w:spacing w:val="-6"/>
        </w:rPr>
        <w:t xml:space="preserve"> </w:t>
      </w:r>
      <w:r w:rsidRPr="009F5A41">
        <w:rPr>
          <w:rFonts w:ascii="Arial" w:hAnsi="Arial" w:cs="Arial"/>
        </w:rPr>
        <w:t>Lucha</w:t>
      </w:r>
      <w:r w:rsidRPr="009F5A41">
        <w:rPr>
          <w:rFonts w:ascii="Arial" w:hAnsi="Arial" w:cs="Arial"/>
          <w:spacing w:val="-5"/>
        </w:rPr>
        <w:t xml:space="preserve"> </w:t>
      </w:r>
      <w:r w:rsidRPr="009F5A41">
        <w:rPr>
          <w:rFonts w:ascii="Arial" w:hAnsi="Arial" w:cs="Arial"/>
        </w:rPr>
        <w:t>Contra</w:t>
      </w:r>
      <w:r w:rsidRPr="009F5A41">
        <w:rPr>
          <w:rFonts w:ascii="Arial" w:hAnsi="Arial" w:cs="Arial"/>
          <w:spacing w:val="-6"/>
        </w:rPr>
        <w:t xml:space="preserve"> </w:t>
      </w:r>
      <w:r w:rsidRPr="009F5A41">
        <w:rPr>
          <w:rFonts w:ascii="Arial" w:hAnsi="Arial" w:cs="Arial"/>
        </w:rPr>
        <w:t>el</w:t>
      </w:r>
      <w:r w:rsidRPr="009F5A41">
        <w:rPr>
          <w:rFonts w:ascii="Arial" w:hAnsi="Arial" w:cs="Arial"/>
          <w:spacing w:val="-5"/>
        </w:rPr>
        <w:t xml:space="preserve"> </w:t>
      </w:r>
      <w:r w:rsidRPr="009F5A41">
        <w:rPr>
          <w:rFonts w:ascii="Arial" w:hAnsi="Arial" w:cs="Arial"/>
        </w:rPr>
        <w:t>Crimen</w:t>
      </w:r>
      <w:r w:rsidRPr="009F5A41">
        <w:rPr>
          <w:rFonts w:ascii="Arial" w:hAnsi="Arial" w:cs="Arial"/>
          <w:spacing w:val="-6"/>
        </w:rPr>
        <w:t xml:space="preserve"> </w:t>
      </w:r>
      <w:r w:rsidRPr="009F5A41">
        <w:rPr>
          <w:rFonts w:ascii="Arial" w:hAnsi="Arial" w:cs="Arial"/>
        </w:rPr>
        <w:t>Organizado</w:t>
      </w:r>
      <w:r w:rsidRPr="009F5A41">
        <w:rPr>
          <w:rFonts w:ascii="Arial" w:hAnsi="Arial" w:cs="Arial"/>
          <w:spacing w:val="-5"/>
        </w:rPr>
        <w:t xml:space="preserve"> </w:t>
      </w:r>
      <w:r w:rsidRPr="009F5A41">
        <w:rPr>
          <w:rFonts w:ascii="Arial" w:hAnsi="Arial" w:cs="Arial"/>
        </w:rPr>
        <w:t>(FRISCO),</w:t>
      </w:r>
      <w:r w:rsidRPr="009F5A41">
        <w:rPr>
          <w:rFonts w:ascii="Arial" w:hAnsi="Arial" w:cs="Arial"/>
          <w:spacing w:val="-6"/>
        </w:rPr>
        <w:t xml:space="preserve"> </w:t>
      </w:r>
      <w:r w:rsidRPr="009F5A41">
        <w:rPr>
          <w:rFonts w:ascii="Arial" w:hAnsi="Arial" w:cs="Arial"/>
        </w:rPr>
        <w:t>a</w:t>
      </w:r>
      <w:r w:rsidRPr="009F5A41">
        <w:rPr>
          <w:rFonts w:ascii="Arial" w:hAnsi="Arial" w:cs="Arial"/>
          <w:spacing w:val="-5"/>
        </w:rPr>
        <w:t xml:space="preserve"> </w:t>
      </w:r>
      <w:r w:rsidRPr="009F5A41">
        <w:rPr>
          <w:rFonts w:ascii="Arial" w:hAnsi="Arial" w:cs="Arial"/>
        </w:rPr>
        <w:t>31</w:t>
      </w:r>
      <w:r w:rsidRPr="009F5A41">
        <w:rPr>
          <w:rFonts w:ascii="Arial" w:hAnsi="Arial" w:cs="Arial"/>
          <w:spacing w:val="-6"/>
        </w:rPr>
        <w:t xml:space="preserve"> </w:t>
      </w:r>
      <w:r w:rsidRPr="009F5A41">
        <w:rPr>
          <w:rFonts w:ascii="Arial" w:hAnsi="Arial" w:cs="Arial"/>
        </w:rPr>
        <w:t>de</w:t>
      </w:r>
      <w:r w:rsidRPr="009F5A41">
        <w:rPr>
          <w:rFonts w:ascii="Arial" w:hAnsi="Arial" w:cs="Arial"/>
          <w:spacing w:val="-5"/>
        </w:rPr>
        <w:t xml:space="preserve"> </w:t>
      </w:r>
      <w:r w:rsidRPr="009F5A41">
        <w:rPr>
          <w:rFonts w:ascii="Arial" w:hAnsi="Arial" w:cs="Arial"/>
        </w:rPr>
        <w:t>diciembre</w:t>
      </w:r>
      <w:r w:rsidRPr="009F5A41">
        <w:rPr>
          <w:rFonts w:ascii="Arial" w:hAnsi="Arial" w:cs="Arial"/>
          <w:spacing w:val="-5"/>
        </w:rPr>
        <w:t xml:space="preserve"> de</w:t>
      </w:r>
      <w:r>
        <w:rPr>
          <w:rFonts w:ascii="Arial" w:hAnsi="Arial" w:cs="Arial"/>
          <w:spacing w:val="-5"/>
        </w:rPr>
        <w:t xml:space="preserve"> </w:t>
      </w:r>
      <w:r w:rsidRPr="009F5A41">
        <w:rPr>
          <w:rFonts w:ascii="Arial" w:hAnsi="Arial" w:cs="Arial"/>
        </w:rPr>
        <w:t>2022, reflejaba los pasivos contingentes de litigios que corresponden a la Sociedad de Activos Especiales (SAE) S.A.S., contraviniendo lo establecido</w:t>
      </w:r>
      <w:r w:rsidRPr="009F5A41">
        <w:rPr>
          <w:rFonts w:ascii="Arial" w:hAnsi="Arial" w:cs="Arial"/>
          <w:spacing w:val="-10"/>
        </w:rPr>
        <w:t xml:space="preserve"> </w:t>
      </w:r>
      <w:r w:rsidRPr="009F5A41">
        <w:rPr>
          <w:rFonts w:ascii="Arial" w:hAnsi="Arial" w:cs="Arial"/>
        </w:rPr>
        <w:t>en</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Resolución</w:t>
      </w:r>
      <w:r w:rsidRPr="009F5A41">
        <w:rPr>
          <w:rFonts w:ascii="Arial" w:hAnsi="Arial" w:cs="Arial"/>
          <w:spacing w:val="-10"/>
        </w:rPr>
        <w:t xml:space="preserve"> </w:t>
      </w:r>
      <w:r w:rsidRPr="009F5A41">
        <w:rPr>
          <w:rFonts w:ascii="Arial" w:hAnsi="Arial" w:cs="Arial"/>
        </w:rPr>
        <w:t>116</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2017</w:t>
      </w:r>
      <w:r w:rsidRPr="009F5A41">
        <w:rPr>
          <w:rFonts w:ascii="Arial" w:hAnsi="Arial" w:cs="Arial"/>
          <w:spacing w:val="-10"/>
        </w:rPr>
        <w:t xml:space="preserve"> </w:t>
      </w:r>
      <w:r w:rsidRPr="009F5A41">
        <w:rPr>
          <w:rFonts w:ascii="Arial" w:hAnsi="Arial" w:cs="Arial"/>
        </w:rPr>
        <w:t>de</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rPr>
        <w:t>Contaduría</w:t>
      </w:r>
      <w:r w:rsidRPr="009F5A41">
        <w:rPr>
          <w:rFonts w:ascii="Arial" w:hAnsi="Arial" w:cs="Arial"/>
          <w:spacing w:val="-10"/>
        </w:rPr>
        <w:t xml:space="preserve"> </w:t>
      </w:r>
      <w:r w:rsidRPr="009F5A41">
        <w:rPr>
          <w:rFonts w:ascii="Arial" w:hAnsi="Arial" w:cs="Arial"/>
        </w:rPr>
        <w:t>General</w:t>
      </w:r>
      <w:r w:rsidRPr="009F5A41">
        <w:rPr>
          <w:rFonts w:ascii="Arial" w:hAnsi="Arial" w:cs="Arial"/>
          <w:spacing w:val="-10"/>
        </w:rPr>
        <w:t xml:space="preserve"> </w:t>
      </w:r>
      <w:r w:rsidRPr="009F5A41">
        <w:rPr>
          <w:rFonts w:ascii="Arial" w:hAnsi="Arial" w:cs="Arial"/>
        </w:rPr>
        <w:t>de la Nación, numeral 2.4, lo cual generó sobrestimación de las cuentas de orden acreedoras en pasivos contingentes.</w:t>
      </w:r>
    </w:p>
    <w:p w:rsidR="00DD24A3" w:rsidRDefault="00DD24A3"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rPr>
        <w:t>Incorrección de cantidad en los gastos de provisión para litigios y demandas</w:t>
      </w:r>
      <w:r w:rsidRPr="009F5A41">
        <w:rPr>
          <w:rFonts w:ascii="Arial" w:hAnsi="Arial" w:cs="Arial"/>
          <w:spacing w:val="-19"/>
        </w:rPr>
        <w:t xml:space="preserve"> </w:t>
      </w:r>
      <w:r w:rsidRPr="009F5A41">
        <w:rPr>
          <w:rFonts w:ascii="Arial" w:hAnsi="Arial" w:cs="Arial"/>
        </w:rPr>
        <w:t>por</w:t>
      </w:r>
      <w:r w:rsidRPr="009F5A41">
        <w:rPr>
          <w:rFonts w:ascii="Arial" w:hAnsi="Arial" w:cs="Arial"/>
          <w:spacing w:val="-19"/>
        </w:rPr>
        <w:t xml:space="preserve"> </w:t>
      </w:r>
      <w:r w:rsidRPr="009F5A41">
        <w:rPr>
          <w:rFonts w:ascii="Arial" w:hAnsi="Arial" w:cs="Arial"/>
        </w:rPr>
        <w:t>$69.636,6</w:t>
      </w:r>
      <w:r w:rsidRPr="009F5A41">
        <w:rPr>
          <w:rFonts w:ascii="Arial" w:hAnsi="Arial" w:cs="Arial"/>
          <w:spacing w:val="-19"/>
        </w:rPr>
        <w:t xml:space="preserve"> </w:t>
      </w:r>
      <w:r w:rsidRPr="009F5A41">
        <w:rPr>
          <w:rFonts w:ascii="Arial" w:hAnsi="Arial" w:cs="Arial"/>
        </w:rPr>
        <w:t>millones,</w:t>
      </w:r>
      <w:r w:rsidRPr="009F5A41">
        <w:rPr>
          <w:rFonts w:ascii="Arial" w:hAnsi="Arial" w:cs="Arial"/>
          <w:spacing w:val="-19"/>
        </w:rPr>
        <w:t xml:space="preserve"> </w:t>
      </w:r>
      <w:r w:rsidRPr="009F5A41">
        <w:rPr>
          <w:rFonts w:ascii="Arial" w:hAnsi="Arial" w:cs="Arial"/>
        </w:rPr>
        <w:t>debido</w:t>
      </w:r>
      <w:r w:rsidRPr="009F5A41">
        <w:rPr>
          <w:rFonts w:ascii="Arial" w:hAnsi="Arial" w:cs="Arial"/>
          <w:spacing w:val="-19"/>
        </w:rPr>
        <w:t xml:space="preserve"> </w:t>
      </w:r>
      <w:r w:rsidRPr="009F5A41">
        <w:rPr>
          <w:rFonts w:ascii="Arial" w:hAnsi="Arial" w:cs="Arial"/>
        </w:rPr>
        <w:t>a</w:t>
      </w:r>
      <w:r w:rsidRPr="009F5A41">
        <w:rPr>
          <w:rFonts w:ascii="Arial" w:hAnsi="Arial" w:cs="Arial"/>
          <w:spacing w:val="-19"/>
        </w:rPr>
        <w:t xml:space="preserve"> </w:t>
      </w:r>
      <w:r w:rsidRPr="009F5A41">
        <w:rPr>
          <w:rFonts w:ascii="Arial" w:hAnsi="Arial" w:cs="Arial"/>
        </w:rPr>
        <w:t>que</w:t>
      </w:r>
      <w:r w:rsidRPr="009F5A41">
        <w:rPr>
          <w:rFonts w:ascii="Arial" w:hAnsi="Arial" w:cs="Arial"/>
          <w:spacing w:val="-19"/>
        </w:rPr>
        <w:t xml:space="preserve"> </w:t>
      </w:r>
      <w:r w:rsidRPr="009F5A41">
        <w:rPr>
          <w:rFonts w:ascii="Arial" w:hAnsi="Arial" w:cs="Arial"/>
        </w:rPr>
        <w:t>el</w:t>
      </w:r>
      <w:r w:rsidRPr="009F5A41">
        <w:rPr>
          <w:rFonts w:ascii="Arial" w:hAnsi="Arial" w:cs="Arial"/>
          <w:spacing w:val="-19"/>
        </w:rPr>
        <w:t xml:space="preserve"> </w:t>
      </w:r>
      <w:r w:rsidRPr="009F5A41">
        <w:rPr>
          <w:rFonts w:ascii="Arial" w:hAnsi="Arial" w:cs="Arial"/>
        </w:rPr>
        <w:t>estado</w:t>
      </w:r>
      <w:r w:rsidRPr="009F5A41">
        <w:rPr>
          <w:rFonts w:ascii="Arial" w:hAnsi="Arial" w:cs="Arial"/>
          <w:spacing w:val="-19"/>
        </w:rPr>
        <w:t xml:space="preserve"> </w:t>
      </w:r>
      <w:r w:rsidRPr="009F5A41">
        <w:rPr>
          <w:rFonts w:ascii="Arial" w:hAnsi="Arial" w:cs="Arial"/>
        </w:rPr>
        <w:t>de</w:t>
      </w:r>
      <w:r w:rsidRPr="009F5A41">
        <w:rPr>
          <w:rFonts w:ascii="Arial" w:hAnsi="Arial" w:cs="Arial"/>
          <w:spacing w:val="-19"/>
        </w:rPr>
        <w:t xml:space="preserve"> </w:t>
      </w:r>
      <w:r w:rsidRPr="009F5A41">
        <w:rPr>
          <w:rFonts w:ascii="Arial" w:hAnsi="Arial" w:cs="Arial"/>
        </w:rPr>
        <w:t xml:space="preserve">situación financiera del Fondo para la Rehabilitación, Inversión Social y Lucha Contra el Crimen Organizado (FRISCO), a 31 de diciembre de 2022, </w:t>
      </w:r>
      <w:r w:rsidRPr="009F5A41">
        <w:rPr>
          <w:rFonts w:ascii="Arial" w:hAnsi="Arial" w:cs="Arial"/>
          <w:spacing w:val="-4"/>
        </w:rPr>
        <w:t>reflejaba</w:t>
      </w:r>
      <w:r w:rsidRPr="009F5A41">
        <w:rPr>
          <w:rFonts w:ascii="Arial" w:hAnsi="Arial" w:cs="Arial"/>
          <w:spacing w:val="-16"/>
        </w:rPr>
        <w:t xml:space="preserve"> </w:t>
      </w:r>
      <w:r w:rsidRPr="009F5A41">
        <w:rPr>
          <w:rFonts w:ascii="Arial" w:hAnsi="Arial" w:cs="Arial"/>
          <w:spacing w:val="-4"/>
        </w:rPr>
        <w:t>las</w:t>
      </w:r>
      <w:r w:rsidRPr="009F5A41">
        <w:rPr>
          <w:rFonts w:ascii="Arial" w:hAnsi="Arial" w:cs="Arial"/>
          <w:spacing w:val="-15"/>
        </w:rPr>
        <w:t xml:space="preserve"> </w:t>
      </w:r>
      <w:r w:rsidRPr="009F5A41">
        <w:rPr>
          <w:rFonts w:ascii="Arial" w:hAnsi="Arial" w:cs="Arial"/>
          <w:spacing w:val="-4"/>
        </w:rPr>
        <w:t>provisiones</w:t>
      </w:r>
      <w:r w:rsidRPr="009F5A41">
        <w:rPr>
          <w:rFonts w:ascii="Arial" w:hAnsi="Arial" w:cs="Arial"/>
          <w:spacing w:val="-15"/>
        </w:rPr>
        <w:t xml:space="preserve"> </w:t>
      </w:r>
      <w:r w:rsidRPr="009F5A41">
        <w:rPr>
          <w:rFonts w:ascii="Arial" w:hAnsi="Arial" w:cs="Arial"/>
          <w:spacing w:val="-4"/>
        </w:rPr>
        <w:t>de</w:t>
      </w:r>
      <w:r w:rsidRPr="009F5A41">
        <w:rPr>
          <w:rFonts w:ascii="Arial" w:hAnsi="Arial" w:cs="Arial"/>
          <w:spacing w:val="-16"/>
        </w:rPr>
        <w:t xml:space="preserve"> </w:t>
      </w:r>
      <w:r w:rsidRPr="009F5A41">
        <w:rPr>
          <w:rFonts w:ascii="Arial" w:hAnsi="Arial" w:cs="Arial"/>
          <w:spacing w:val="-4"/>
        </w:rPr>
        <w:t>los</w:t>
      </w:r>
      <w:r w:rsidRPr="009F5A41">
        <w:rPr>
          <w:rFonts w:ascii="Arial" w:hAnsi="Arial" w:cs="Arial"/>
          <w:spacing w:val="-15"/>
        </w:rPr>
        <w:t xml:space="preserve"> </w:t>
      </w:r>
      <w:r w:rsidRPr="009F5A41">
        <w:rPr>
          <w:rFonts w:ascii="Arial" w:hAnsi="Arial" w:cs="Arial"/>
          <w:spacing w:val="-4"/>
        </w:rPr>
        <w:t>litigios</w:t>
      </w:r>
      <w:r w:rsidRPr="009F5A41">
        <w:rPr>
          <w:rFonts w:ascii="Arial" w:hAnsi="Arial" w:cs="Arial"/>
          <w:spacing w:val="-16"/>
        </w:rPr>
        <w:t xml:space="preserve"> </w:t>
      </w:r>
      <w:r w:rsidRPr="009F5A41">
        <w:rPr>
          <w:rFonts w:ascii="Arial" w:hAnsi="Arial" w:cs="Arial"/>
          <w:spacing w:val="-4"/>
        </w:rPr>
        <w:t>y</w:t>
      </w:r>
      <w:r w:rsidRPr="009F5A41">
        <w:rPr>
          <w:rFonts w:ascii="Arial" w:hAnsi="Arial" w:cs="Arial"/>
          <w:spacing w:val="-15"/>
        </w:rPr>
        <w:t xml:space="preserve"> </w:t>
      </w:r>
      <w:r w:rsidRPr="009F5A41">
        <w:rPr>
          <w:rFonts w:ascii="Arial" w:hAnsi="Arial" w:cs="Arial"/>
          <w:spacing w:val="-4"/>
        </w:rPr>
        <w:t>demandas</w:t>
      </w:r>
      <w:r w:rsidRPr="009F5A41">
        <w:rPr>
          <w:rFonts w:ascii="Arial" w:hAnsi="Arial" w:cs="Arial"/>
          <w:spacing w:val="-15"/>
        </w:rPr>
        <w:t xml:space="preserve"> </w:t>
      </w:r>
      <w:r w:rsidRPr="009F5A41">
        <w:rPr>
          <w:rFonts w:ascii="Arial" w:hAnsi="Arial" w:cs="Arial"/>
          <w:spacing w:val="-4"/>
        </w:rPr>
        <w:t>en</w:t>
      </w:r>
      <w:r w:rsidRPr="009F5A41">
        <w:rPr>
          <w:rFonts w:ascii="Arial" w:hAnsi="Arial" w:cs="Arial"/>
          <w:spacing w:val="-16"/>
        </w:rPr>
        <w:t xml:space="preserve"> </w:t>
      </w:r>
      <w:r w:rsidRPr="009F5A41">
        <w:rPr>
          <w:rFonts w:ascii="Arial" w:hAnsi="Arial" w:cs="Arial"/>
          <w:spacing w:val="-4"/>
        </w:rPr>
        <w:t>contra</w:t>
      </w:r>
      <w:r w:rsidRPr="009F5A41">
        <w:rPr>
          <w:rFonts w:ascii="Arial" w:hAnsi="Arial" w:cs="Arial"/>
          <w:spacing w:val="-15"/>
        </w:rPr>
        <w:t xml:space="preserve"> </w:t>
      </w:r>
      <w:r w:rsidRPr="009F5A41">
        <w:rPr>
          <w:rFonts w:ascii="Arial" w:hAnsi="Arial" w:cs="Arial"/>
          <w:spacing w:val="-4"/>
        </w:rPr>
        <w:t>la</w:t>
      </w:r>
      <w:r w:rsidRPr="009F5A41">
        <w:rPr>
          <w:rFonts w:ascii="Arial" w:hAnsi="Arial" w:cs="Arial"/>
          <w:spacing w:val="-15"/>
        </w:rPr>
        <w:t xml:space="preserve"> </w:t>
      </w:r>
      <w:r w:rsidRPr="009F5A41">
        <w:rPr>
          <w:rFonts w:ascii="Arial" w:hAnsi="Arial" w:cs="Arial"/>
          <w:spacing w:val="-4"/>
        </w:rPr>
        <w:t xml:space="preserve">Sociedad </w:t>
      </w:r>
      <w:r w:rsidRPr="009F5A41">
        <w:rPr>
          <w:rFonts w:ascii="Arial" w:hAnsi="Arial" w:cs="Arial"/>
        </w:rPr>
        <w:t xml:space="preserve">de Activos Especiales (SAE) S.A.S., contraviniendo lo </w:t>
      </w:r>
      <w:r w:rsidRPr="009F5A41">
        <w:rPr>
          <w:rFonts w:ascii="Arial" w:hAnsi="Arial" w:cs="Arial"/>
        </w:rPr>
        <w:lastRenderedPageBreak/>
        <w:t>establecido en la Resolución 116 de 2017 de la Contaduría General de la Nación, numeral</w:t>
      </w:r>
      <w:r w:rsidRPr="009F5A41">
        <w:rPr>
          <w:rFonts w:ascii="Arial" w:hAnsi="Arial" w:cs="Arial"/>
          <w:spacing w:val="-8"/>
        </w:rPr>
        <w:t xml:space="preserve"> </w:t>
      </w:r>
      <w:r w:rsidRPr="009F5A41">
        <w:rPr>
          <w:rFonts w:ascii="Arial" w:hAnsi="Arial" w:cs="Arial"/>
        </w:rPr>
        <w:t>2.4,</w:t>
      </w:r>
      <w:r w:rsidRPr="009F5A41">
        <w:rPr>
          <w:rFonts w:ascii="Arial" w:hAnsi="Arial" w:cs="Arial"/>
          <w:spacing w:val="-8"/>
        </w:rPr>
        <w:t xml:space="preserve"> </w:t>
      </w:r>
      <w:r w:rsidRPr="009F5A41">
        <w:rPr>
          <w:rFonts w:ascii="Arial" w:hAnsi="Arial" w:cs="Arial"/>
        </w:rPr>
        <w:t>lo</w:t>
      </w:r>
      <w:r w:rsidRPr="009F5A41">
        <w:rPr>
          <w:rFonts w:ascii="Arial" w:hAnsi="Arial" w:cs="Arial"/>
          <w:spacing w:val="-8"/>
        </w:rPr>
        <w:t xml:space="preserve"> </w:t>
      </w:r>
      <w:r w:rsidRPr="009F5A41">
        <w:rPr>
          <w:rFonts w:ascii="Arial" w:hAnsi="Arial" w:cs="Arial"/>
        </w:rPr>
        <w:t>cual</w:t>
      </w:r>
      <w:r w:rsidRPr="009F5A41">
        <w:rPr>
          <w:rFonts w:ascii="Arial" w:hAnsi="Arial" w:cs="Arial"/>
          <w:spacing w:val="-8"/>
        </w:rPr>
        <w:t xml:space="preserve"> </w:t>
      </w:r>
      <w:r w:rsidRPr="009F5A41">
        <w:rPr>
          <w:rFonts w:ascii="Arial" w:hAnsi="Arial" w:cs="Arial"/>
        </w:rPr>
        <w:t>generó</w:t>
      </w:r>
      <w:r w:rsidRPr="009F5A41">
        <w:rPr>
          <w:rFonts w:ascii="Arial" w:hAnsi="Arial" w:cs="Arial"/>
          <w:spacing w:val="-9"/>
        </w:rPr>
        <w:t xml:space="preserve"> </w:t>
      </w:r>
      <w:r w:rsidRPr="009F5A41">
        <w:rPr>
          <w:rFonts w:ascii="Arial" w:hAnsi="Arial" w:cs="Arial"/>
        </w:rPr>
        <w:t>sobrestimación</w:t>
      </w:r>
      <w:r w:rsidRPr="009F5A41">
        <w:rPr>
          <w:rFonts w:ascii="Arial" w:hAnsi="Arial" w:cs="Arial"/>
          <w:spacing w:val="-8"/>
        </w:rPr>
        <w:t xml:space="preserve"> </w:t>
      </w:r>
      <w:r w:rsidRPr="009F5A41">
        <w:rPr>
          <w:rFonts w:ascii="Arial" w:hAnsi="Arial" w:cs="Arial"/>
        </w:rPr>
        <w:t>en</w:t>
      </w:r>
      <w:r w:rsidRPr="009F5A41">
        <w:rPr>
          <w:rFonts w:ascii="Arial" w:hAnsi="Arial" w:cs="Arial"/>
          <w:spacing w:val="-8"/>
        </w:rPr>
        <w:t xml:space="preserve"> </w:t>
      </w:r>
      <w:r w:rsidRPr="009F5A41">
        <w:rPr>
          <w:rFonts w:ascii="Arial" w:hAnsi="Arial" w:cs="Arial"/>
        </w:rPr>
        <w:t>los</w:t>
      </w:r>
      <w:r w:rsidRPr="009F5A41">
        <w:rPr>
          <w:rFonts w:ascii="Arial" w:hAnsi="Arial" w:cs="Arial"/>
          <w:spacing w:val="-8"/>
        </w:rPr>
        <w:t xml:space="preserve"> </w:t>
      </w:r>
      <w:r w:rsidRPr="009F5A41">
        <w:rPr>
          <w:rFonts w:ascii="Arial" w:hAnsi="Arial" w:cs="Arial"/>
        </w:rPr>
        <w:t>gastos</w:t>
      </w:r>
      <w:r w:rsidRPr="009F5A41">
        <w:rPr>
          <w:rFonts w:ascii="Arial" w:hAnsi="Arial" w:cs="Arial"/>
          <w:spacing w:val="-8"/>
        </w:rPr>
        <w:t xml:space="preserve"> </w:t>
      </w:r>
      <w:r w:rsidRPr="009F5A41">
        <w:rPr>
          <w:rFonts w:ascii="Arial" w:hAnsi="Arial" w:cs="Arial"/>
        </w:rPr>
        <w:t>del</w:t>
      </w:r>
      <w:r w:rsidRPr="009F5A41">
        <w:rPr>
          <w:rFonts w:ascii="Arial" w:hAnsi="Arial" w:cs="Arial"/>
          <w:spacing w:val="-8"/>
        </w:rPr>
        <w:t xml:space="preserve"> </w:t>
      </w:r>
      <w:r w:rsidRPr="009F5A41">
        <w:rPr>
          <w:rFonts w:ascii="Arial" w:hAnsi="Arial" w:cs="Arial"/>
        </w:rPr>
        <w:t>FRISCO, por</w:t>
      </w:r>
      <w:r w:rsidRPr="009F5A41">
        <w:rPr>
          <w:rFonts w:ascii="Arial" w:hAnsi="Arial" w:cs="Arial"/>
          <w:spacing w:val="-17"/>
        </w:rPr>
        <w:t xml:space="preserve"> </w:t>
      </w:r>
      <w:r w:rsidRPr="009F5A41">
        <w:rPr>
          <w:rFonts w:ascii="Arial" w:hAnsi="Arial" w:cs="Arial"/>
        </w:rPr>
        <w:t>registros</w:t>
      </w:r>
      <w:r w:rsidRPr="009F5A41">
        <w:rPr>
          <w:rFonts w:ascii="Arial" w:hAnsi="Arial" w:cs="Arial"/>
          <w:spacing w:val="-18"/>
        </w:rPr>
        <w:t xml:space="preserve"> </w:t>
      </w:r>
      <w:r w:rsidRPr="009F5A41">
        <w:rPr>
          <w:rFonts w:ascii="Arial" w:hAnsi="Arial" w:cs="Arial"/>
        </w:rPr>
        <w:t>contables</w:t>
      </w:r>
      <w:r w:rsidRPr="009F5A41">
        <w:rPr>
          <w:rFonts w:ascii="Arial" w:hAnsi="Arial" w:cs="Arial"/>
          <w:spacing w:val="-18"/>
        </w:rPr>
        <w:t xml:space="preserve"> </w:t>
      </w:r>
      <w:r w:rsidRPr="009F5A41">
        <w:rPr>
          <w:rFonts w:ascii="Arial" w:hAnsi="Arial" w:cs="Arial"/>
        </w:rPr>
        <w:t>que</w:t>
      </w:r>
      <w:r w:rsidRPr="009F5A41">
        <w:rPr>
          <w:rFonts w:ascii="Arial" w:hAnsi="Arial" w:cs="Arial"/>
          <w:spacing w:val="-18"/>
        </w:rPr>
        <w:t xml:space="preserve"> </w:t>
      </w:r>
      <w:r w:rsidRPr="009F5A41">
        <w:rPr>
          <w:rFonts w:ascii="Arial" w:hAnsi="Arial" w:cs="Arial"/>
        </w:rPr>
        <w:t>pertenecen</w:t>
      </w:r>
      <w:r w:rsidRPr="009F5A41">
        <w:rPr>
          <w:rFonts w:ascii="Arial" w:hAnsi="Arial" w:cs="Arial"/>
          <w:spacing w:val="-18"/>
        </w:rPr>
        <w:t xml:space="preserve"> </w:t>
      </w:r>
      <w:r w:rsidRPr="009F5A41">
        <w:rPr>
          <w:rFonts w:ascii="Arial" w:hAnsi="Arial" w:cs="Arial"/>
        </w:rPr>
        <w:t>a</w:t>
      </w:r>
      <w:r w:rsidRPr="009F5A41">
        <w:rPr>
          <w:rFonts w:ascii="Arial" w:hAnsi="Arial" w:cs="Arial"/>
          <w:spacing w:val="-17"/>
        </w:rPr>
        <w:t xml:space="preserve"> </w:t>
      </w:r>
      <w:r w:rsidRPr="009F5A41">
        <w:rPr>
          <w:rFonts w:ascii="Arial" w:hAnsi="Arial" w:cs="Arial"/>
        </w:rPr>
        <w:t>otra</w:t>
      </w:r>
      <w:r w:rsidRPr="009F5A41">
        <w:rPr>
          <w:rFonts w:ascii="Arial" w:hAnsi="Arial" w:cs="Arial"/>
          <w:spacing w:val="-17"/>
        </w:rPr>
        <w:t xml:space="preserve"> </w:t>
      </w:r>
      <w:r w:rsidRPr="009F5A41">
        <w:rPr>
          <w:rFonts w:ascii="Arial" w:hAnsi="Arial" w:cs="Arial"/>
        </w:rPr>
        <w:t>entidad,</w:t>
      </w:r>
      <w:r w:rsidRPr="009F5A41">
        <w:rPr>
          <w:rFonts w:ascii="Arial" w:hAnsi="Arial" w:cs="Arial"/>
          <w:spacing w:val="-18"/>
        </w:rPr>
        <w:t xml:space="preserve"> </w:t>
      </w:r>
      <w:r w:rsidRPr="009F5A41">
        <w:rPr>
          <w:rFonts w:ascii="Arial" w:hAnsi="Arial" w:cs="Arial"/>
        </w:rPr>
        <w:t>lo</w:t>
      </w:r>
      <w:r w:rsidRPr="009F5A41">
        <w:rPr>
          <w:rFonts w:ascii="Arial" w:hAnsi="Arial" w:cs="Arial"/>
          <w:spacing w:val="-17"/>
        </w:rPr>
        <w:t xml:space="preserve"> </w:t>
      </w:r>
      <w:r w:rsidRPr="009F5A41">
        <w:rPr>
          <w:rFonts w:ascii="Arial" w:hAnsi="Arial" w:cs="Arial"/>
        </w:rPr>
        <w:t>cual</w:t>
      </w:r>
      <w:r w:rsidRPr="009F5A41">
        <w:rPr>
          <w:rFonts w:ascii="Arial" w:hAnsi="Arial" w:cs="Arial"/>
          <w:spacing w:val="-18"/>
        </w:rPr>
        <w:t xml:space="preserve"> </w:t>
      </w:r>
      <w:r w:rsidRPr="009F5A41">
        <w:rPr>
          <w:rFonts w:ascii="Arial" w:hAnsi="Arial" w:cs="Arial"/>
        </w:rPr>
        <w:t>afectó</w:t>
      </w:r>
      <w:r w:rsidRPr="009F5A41">
        <w:rPr>
          <w:rFonts w:ascii="Arial" w:hAnsi="Arial" w:cs="Arial"/>
          <w:spacing w:val="-18"/>
        </w:rPr>
        <w:t xml:space="preserve"> </w:t>
      </w:r>
      <w:r w:rsidRPr="009F5A41">
        <w:rPr>
          <w:rFonts w:ascii="Arial" w:hAnsi="Arial" w:cs="Arial"/>
        </w:rPr>
        <w:t>la razonabilidad de los estados financieros de la vigencia 2022.</w:t>
      </w:r>
    </w:p>
    <w:p w:rsidR="00DD24A3" w:rsidRDefault="00DD24A3" w:rsidP="00DD24A3">
      <w:pPr>
        <w:pStyle w:val="Textoindependiente"/>
        <w:spacing w:line="237" w:lineRule="auto"/>
        <w:ind w:left="-284" w:right="-518"/>
        <w:jc w:val="both"/>
        <w:rPr>
          <w:rFonts w:ascii="Arial" w:hAnsi="Arial" w:cs="Arial"/>
        </w:rPr>
      </w:pPr>
    </w:p>
    <w:p w:rsidR="00C11C14" w:rsidRDefault="00C11C14"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29"/>
        </w:rPr>
        <w:t xml:space="preserve"> </w:t>
      </w:r>
      <w:r w:rsidRPr="009F5A41">
        <w:rPr>
          <w:rFonts w:ascii="Arial" w:hAnsi="Arial" w:cs="Arial"/>
        </w:rPr>
        <w:t>de</w:t>
      </w:r>
      <w:r w:rsidRPr="009F5A41">
        <w:rPr>
          <w:rFonts w:ascii="Arial" w:hAnsi="Arial" w:cs="Arial"/>
          <w:spacing w:val="31"/>
        </w:rPr>
        <w:t xml:space="preserve"> </w:t>
      </w:r>
      <w:r w:rsidRPr="009F5A41">
        <w:rPr>
          <w:rFonts w:ascii="Arial" w:hAnsi="Arial" w:cs="Arial"/>
        </w:rPr>
        <w:t>cantidad</w:t>
      </w:r>
      <w:r w:rsidRPr="009F5A41">
        <w:rPr>
          <w:rFonts w:ascii="Arial" w:hAnsi="Arial" w:cs="Arial"/>
          <w:spacing w:val="31"/>
        </w:rPr>
        <w:t xml:space="preserve"> </w:t>
      </w:r>
      <w:r w:rsidRPr="009F5A41">
        <w:rPr>
          <w:rFonts w:ascii="Arial" w:hAnsi="Arial" w:cs="Arial"/>
        </w:rPr>
        <w:t>de</w:t>
      </w:r>
      <w:r w:rsidRPr="009F5A41">
        <w:rPr>
          <w:rFonts w:ascii="Arial" w:hAnsi="Arial" w:cs="Arial"/>
          <w:spacing w:val="31"/>
        </w:rPr>
        <w:t xml:space="preserve"> </w:t>
      </w:r>
      <w:r w:rsidRPr="009F5A41">
        <w:rPr>
          <w:rFonts w:ascii="Arial" w:hAnsi="Arial" w:cs="Arial"/>
        </w:rPr>
        <w:t>gastos</w:t>
      </w:r>
      <w:r w:rsidRPr="009F5A41">
        <w:rPr>
          <w:rFonts w:ascii="Arial" w:hAnsi="Arial" w:cs="Arial"/>
          <w:spacing w:val="31"/>
        </w:rPr>
        <w:t xml:space="preserve"> </w:t>
      </w:r>
      <w:r w:rsidRPr="009F5A41">
        <w:rPr>
          <w:rFonts w:ascii="Arial" w:hAnsi="Arial" w:cs="Arial"/>
        </w:rPr>
        <w:t>por</w:t>
      </w:r>
      <w:r w:rsidRPr="009F5A41">
        <w:rPr>
          <w:rFonts w:ascii="Arial" w:hAnsi="Arial" w:cs="Arial"/>
          <w:spacing w:val="31"/>
        </w:rPr>
        <w:t xml:space="preserve"> </w:t>
      </w:r>
      <w:r w:rsidRPr="009F5A41">
        <w:rPr>
          <w:rFonts w:ascii="Arial" w:hAnsi="Arial" w:cs="Arial"/>
        </w:rPr>
        <w:t>intereses</w:t>
      </w:r>
      <w:r w:rsidRPr="009F5A41">
        <w:rPr>
          <w:rFonts w:ascii="Arial" w:hAnsi="Arial" w:cs="Arial"/>
          <w:spacing w:val="31"/>
        </w:rPr>
        <w:t xml:space="preserve"> </w:t>
      </w:r>
      <w:r w:rsidRPr="009F5A41">
        <w:rPr>
          <w:rFonts w:ascii="Arial" w:hAnsi="Arial" w:cs="Arial"/>
        </w:rPr>
        <w:t>de</w:t>
      </w:r>
      <w:r w:rsidRPr="009F5A41">
        <w:rPr>
          <w:rFonts w:ascii="Arial" w:hAnsi="Arial" w:cs="Arial"/>
          <w:spacing w:val="31"/>
        </w:rPr>
        <w:t xml:space="preserve"> </w:t>
      </w:r>
      <w:r w:rsidRPr="009F5A41">
        <w:rPr>
          <w:rFonts w:ascii="Arial" w:hAnsi="Arial" w:cs="Arial"/>
        </w:rPr>
        <w:t>sentencias</w:t>
      </w:r>
      <w:r w:rsidRPr="009F5A41">
        <w:rPr>
          <w:rFonts w:ascii="Arial" w:hAnsi="Arial" w:cs="Arial"/>
          <w:spacing w:val="32"/>
        </w:rPr>
        <w:t xml:space="preserve"> </w:t>
      </w:r>
      <w:r w:rsidRPr="009F5A41">
        <w:rPr>
          <w:rFonts w:ascii="Arial" w:hAnsi="Arial" w:cs="Arial"/>
          <w:spacing w:val="-5"/>
        </w:rPr>
        <w:t>por</w:t>
      </w:r>
      <w:r>
        <w:rPr>
          <w:rFonts w:ascii="Arial" w:hAnsi="Arial" w:cs="Arial"/>
          <w:spacing w:val="-5"/>
        </w:rPr>
        <w:t xml:space="preserve"> </w:t>
      </w:r>
      <w:r w:rsidRPr="009F5A41">
        <w:rPr>
          <w:rFonts w:ascii="Arial" w:hAnsi="Arial" w:cs="Arial"/>
        </w:rPr>
        <w:t>$56,0</w:t>
      </w:r>
      <w:r w:rsidRPr="009F5A41">
        <w:rPr>
          <w:rFonts w:ascii="Arial" w:hAnsi="Arial" w:cs="Arial"/>
          <w:spacing w:val="-13"/>
        </w:rPr>
        <w:t xml:space="preserve"> </w:t>
      </w:r>
      <w:r w:rsidRPr="009F5A41">
        <w:rPr>
          <w:rFonts w:ascii="Arial" w:hAnsi="Arial" w:cs="Arial"/>
        </w:rPr>
        <w:t>millones,</w:t>
      </w:r>
      <w:r w:rsidRPr="009F5A41">
        <w:rPr>
          <w:rFonts w:ascii="Arial" w:hAnsi="Arial" w:cs="Arial"/>
          <w:spacing w:val="-12"/>
        </w:rPr>
        <w:t xml:space="preserve"> </w:t>
      </w:r>
      <w:r w:rsidRPr="009F5A41">
        <w:rPr>
          <w:rFonts w:ascii="Arial" w:hAnsi="Arial" w:cs="Arial"/>
        </w:rPr>
        <w:t>debido</w:t>
      </w:r>
      <w:r w:rsidRPr="009F5A41">
        <w:rPr>
          <w:rFonts w:ascii="Arial" w:hAnsi="Arial" w:cs="Arial"/>
          <w:spacing w:val="-12"/>
        </w:rPr>
        <w:t xml:space="preserve"> </w:t>
      </w:r>
      <w:r w:rsidRPr="009F5A41">
        <w:rPr>
          <w:rFonts w:ascii="Arial" w:hAnsi="Arial" w:cs="Arial"/>
        </w:rPr>
        <w:t>a</w:t>
      </w:r>
      <w:r w:rsidRPr="009F5A41">
        <w:rPr>
          <w:rFonts w:ascii="Arial" w:hAnsi="Arial" w:cs="Arial"/>
          <w:spacing w:val="-12"/>
        </w:rPr>
        <w:t xml:space="preserve"> </w:t>
      </w:r>
      <w:r w:rsidRPr="009F5A41">
        <w:rPr>
          <w:rFonts w:ascii="Arial" w:hAnsi="Arial" w:cs="Arial"/>
        </w:rPr>
        <w:t>que</w:t>
      </w:r>
      <w:r w:rsidRPr="009F5A41">
        <w:rPr>
          <w:rFonts w:ascii="Arial" w:hAnsi="Arial" w:cs="Arial"/>
          <w:spacing w:val="-12"/>
        </w:rPr>
        <w:t xml:space="preserve"> </w:t>
      </w:r>
      <w:r w:rsidRPr="009F5A41">
        <w:rPr>
          <w:rFonts w:ascii="Arial" w:hAnsi="Arial" w:cs="Arial"/>
        </w:rPr>
        <w:t>los</w:t>
      </w:r>
      <w:r w:rsidRPr="009F5A41">
        <w:rPr>
          <w:rFonts w:ascii="Arial" w:hAnsi="Arial" w:cs="Arial"/>
          <w:spacing w:val="-12"/>
        </w:rPr>
        <w:t xml:space="preserve"> </w:t>
      </w:r>
      <w:r w:rsidRPr="009F5A41">
        <w:rPr>
          <w:rFonts w:ascii="Arial" w:hAnsi="Arial" w:cs="Arial"/>
        </w:rPr>
        <w:t>estados</w:t>
      </w:r>
      <w:r w:rsidRPr="009F5A41">
        <w:rPr>
          <w:rFonts w:ascii="Arial" w:hAnsi="Arial" w:cs="Arial"/>
          <w:spacing w:val="-12"/>
        </w:rPr>
        <w:t xml:space="preserve"> </w:t>
      </w:r>
      <w:r w:rsidRPr="009F5A41">
        <w:rPr>
          <w:rFonts w:ascii="Arial" w:hAnsi="Arial" w:cs="Arial"/>
        </w:rPr>
        <w:t>financieros</w:t>
      </w:r>
      <w:r w:rsidRPr="009F5A41">
        <w:rPr>
          <w:rFonts w:ascii="Arial" w:hAnsi="Arial" w:cs="Arial"/>
          <w:spacing w:val="-12"/>
        </w:rPr>
        <w:t xml:space="preserve"> </w:t>
      </w:r>
      <w:r w:rsidRPr="009F5A41">
        <w:rPr>
          <w:rFonts w:ascii="Arial" w:hAnsi="Arial" w:cs="Arial"/>
        </w:rPr>
        <w:t>del</w:t>
      </w:r>
      <w:r w:rsidRPr="009F5A41">
        <w:rPr>
          <w:rFonts w:ascii="Arial" w:hAnsi="Arial" w:cs="Arial"/>
          <w:spacing w:val="-12"/>
        </w:rPr>
        <w:t xml:space="preserve"> </w:t>
      </w:r>
      <w:r w:rsidRPr="009F5A41">
        <w:rPr>
          <w:rFonts w:ascii="Arial" w:hAnsi="Arial" w:cs="Arial"/>
        </w:rPr>
        <w:t>Fondo</w:t>
      </w:r>
      <w:r w:rsidRPr="009F5A41">
        <w:rPr>
          <w:rFonts w:ascii="Arial" w:hAnsi="Arial" w:cs="Arial"/>
          <w:spacing w:val="-12"/>
        </w:rPr>
        <w:t xml:space="preserve"> </w:t>
      </w:r>
      <w:r w:rsidRPr="009F5A41">
        <w:rPr>
          <w:rFonts w:ascii="Arial" w:hAnsi="Arial" w:cs="Arial"/>
        </w:rPr>
        <w:t>para</w:t>
      </w:r>
      <w:r w:rsidRPr="009F5A41">
        <w:rPr>
          <w:rFonts w:ascii="Arial" w:hAnsi="Arial" w:cs="Arial"/>
          <w:spacing w:val="-12"/>
        </w:rPr>
        <w:t xml:space="preserve"> </w:t>
      </w:r>
      <w:r w:rsidRPr="009F5A41">
        <w:rPr>
          <w:rFonts w:ascii="Arial" w:hAnsi="Arial" w:cs="Arial"/>
        </w:rPr>
        <w:t>la Rehabilitación,</w:t>
      </w:r>
      <w:r w:rsidRPr="009F5A41">
        <w:rPr>
          <w:rFonts w:ascii="Arial" w:hAnsi="Arial" w:cs="Arial"/>
          <w:spacing w:val="-2"/>
        </w:rPr>
        <w:t xml:space="preserve"> </w:t>
      </w:r>
      <w:r w:rsidRPr="009F5A41">
        <w:rPr>
          <w:rFonts w:ascii="Arial" w:hAnsi="Arial" w:cs="Arial"/>
        </w:rPr>
        <w:t>Inversión</w:t>
      </w:r>
      <w:r w:rsidRPr="009F5A41">
        <w:rPr>
          <w:rFonts w:ascii="Arial" w:hAnsi="Arial" w:cs="Arial"/>
          <w:spacing w:val="-2"/>
        </w:rPr>
        <w:t xml:space="preserve"> </w:t>
      </w:r>
      <w:r w:rsidRPr="009F5A41">
        <w:rPr>
          <w:rFonts w:ascii="Arial" w:hAnsi="Arial" w:cs="Arial"/>
        </w:rPr>
        <w:t>Social</w:t>
      </w:r>
      <w:r w:rsidRPr="009F5A41">
        <w:rPr>
          <w:rFonts w:ascii="Arial" w:hAnsi="Arial" w:cs="Arial"/>
          <w:spacing w:val="-2"/>
        </w:rPr>
        <w:t xml:space="preserve"> </w:t>
      </w:r>
      <w:r w:rsidRPr="009F5A41">
        <w:rPr>
          <w:rFonts w:ascii="Arial" w:hAnsi="Arial" w:cs="Arial"/>
        </w:rPr>
        <w:t>y</w:t>
      </w:r>
      <w:r w:rsidRPr="009F5A41">
        <w:rPr>
          <w:rFonts w:ascii="Arial" w:hAnsi="Arial" w:cs="Arial"/>
          <w:spacing w:val="-2"/>
        </w:rPr>
        <w:t xml:space="preserve"> </w:t>
      </w:r>
      <w:r w:rsidRPr="009F5A41">
        <w:rPr>
          <w:rFonts w:ascii="Arial" w:hAnsi="Arial" w:cs="Arial"/>
        </w:rPr>
        <w:t>Lucha</w:t>
      </w:r>
      <w:r w:rsidRPr="009F5A41">
        <w:rPr>
          <w:rFonts w:ascii="Arial" w:hAnsi="Arial" w:cs="Arial"/>
          <w:spacing w:val="-2"/>
        </w:rPr>
        <w:t xml:space="preserve"> </w:t>
      </w:r>
      <w:r w:rsidRPr="009F5A41">
        <w:rPr>
          <w:rFonts w:ascii="Arial" w:hAnsi="Arial" w:cs="Arial"/>
        </w:rPr>
        <w:t>Contra</w:t>
      </w:r>
      <w:r w:rsidRPr="009F5A41">
        <w:rPr>
          <w:rFonts w:ascii="Arial" w:hAnsi="Arial" w:cs="Arial"/>
          <w:spacing w:val="-2"/>
        </w:rPr>
        <w:t xml:space="preserve"> </w:t>
      </w:r>
      <w:r w:rsidRPr="009F5A41">
        <w:rPr>
          <w:rFonts w:ascii="Arial" w:hAnsi="Arial" w:cs="Arial"/>
        </w:rPr>
        <w:t>el</w:t>
      </w:r>
      <w:r w:rsidRPr="009F5A41">
        <w:rPr>
          <w:rFonts w:ascii="Arial" w:hAnsi="Arial" w:cs="Arial"/>
          <w:spacing w:val="-2"/>
        </w:rPr>
        <w:t xml:space="preserve"> </w:t>
      </w:r>
      <w:r w:rsidRPr="009F5A41">
        <w:rPr>
          <w:rFonts w:ascii="Arial" w:hAnsi="Arial" w:cs="Arial"/>
        </w:rPr>
        <w:t>Crimen</w:t>
      </w:r>
      <w:r w:rsidRPr="009F5A41">
        <w:rPr>
          <w:rFonts w:ascii="Arial" w:hAnsi="Arial" w:cs="Arial"/>
          <w:spacing w:val="-2"/>
        </w:rPr>
        <w:t xml:space="preserve"> </w:t>
      </w:r>
      <w:r w:rsidRPr="009F5A41">
        <w:rPr>
          <w:rFonts w:ascii="Arial" w:hAnsi="Arial" w:cs="Arial"/>
        </w:rPr>
        <w:t>Organizado (Frisco), a 31 de diciembre de 2022, reflejaban gastos de intereses derivados</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litigios</w:t>
      </w:r>
      <w:r w:rsidRPr="009F5A41">
        <w:rPr>
          <w:rFonts w:ascii="Arial" w:hAnsi="Arial" w:cs="Arial"/>
          <w:spacing w:val="-7"/>
        </w:rPr>
        <w:t xml:space="preserve"> </w:t>
      </w:r>
      <w:r w:rsidRPr="009F5A41">
        <w:rPr>
          <w:rFonts w:ascii="Arial" w:hAnsi="Arial" w:cs="Arial"/>
        </w:rPr>
        <w:t>y</w:t>
      </w:r>
      <w:r w:rsidRPr="009F5A41">
        <w:rPr>
          <w:rFonts w:ascii="Arial" w:hAnsi="Arial" w:cs="Arial"/>
          <w:spacing w:val="-8"/>
        </w:rPr>
        <w:t xml:space="preserve"> </w:t>
      </w:r>
      <w:r w:rsidRPr="009F5A41">
        <w:rPr>
          <w:rFonts w:ascii="Arial" w:hAnsi="Arial" w:cs="Arial"/>
        </w:rPr>
        <w:t>demandas</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la</w:t>
      </w:r>
      <w:r w:rsidRPr="009F5A41">
        <w:rPr>
          <w:rFonts w:ascii="Arial" w:hAnsi="Arial" w:cs="Arial"/>
          <w:spacing w:val="-8"/>
        </w:rPr>
        <w:t xml:space="preserve"> </w:t>
      </w:r>
      <w:r w:rsidRPr="009F5A41">
        <w:rPr>
          <w:rFonts w:ascii="Arial" w:hAnsi="Arial" w:cs="Arial"/>
        </w:rPr>
        <w:t>Sociedad</w:t>
      </w:r>
      <w:r w:rsidRPr="009F5A41">
        <w:rPr>
          <w:rFonts w:ascii="Arial" w:hAnsi="Arial" w:cs="Arial"/>
          <w:spacing w:val="-8"/>
        </w:rPr>
        <w:t xml:space="preserve"> </w:t>
      </w:r>
      <w:r w:rsidRPr="009F5A41">
        <w:rPr>
          <w:rFonts w:ascii="Arial" w:hAnsi="Arial" w:cs="Arial"/>
        </w:rPr>
        <w:t>de</w:t>
      </w:r>
      <w:r w:rsidRPr="009F5A41">
        <w:rPr>
          <w:rFonts w:ascii="Arial" w:hAnsi="Arial" w:cs="Arial"/>
          <w:spacing w:val="-8"/>
        </w:rPr>
        <w:t xml:space="preserve"> </w:t>
      </w:r>
      <w:r w:rsidRPr="009F5A41">
        <w:rPr>
          <w:rFonts w:ascii="Arial" w:hAnsi="Arial" w:cs="Arial"/>
        </w:rPr>
        <w:t>Activos</w:t>
      </w:r>
      <w:r w:rsidRPr="009F5A41">
        <w:rPr>
          <w:rFonts w:ascii="Arial" w:hAnsi="Arial" w:cs="Arial"/>
          <w:spacing w:val="-8"/>
        </w:rPr>
        <w:t xml:space="preserve"> </w:t>
      </w:r>
      <w:r w:rsidRPr="009F5A41">
        <w:rPr>
          <w:rFonts w:ascii="Arial" w:hAnsi="Arial" w:cs="Arial"/>
        </w:rPr>
        <w:t xml:space="preserve">Especiales (SAE) S.A.S., contraviniendo lo establecido en la Resolución 116 de 2017 de la Contaduría General de la Nación, numeral 2.4, lo cual </w:t>
      </w:r>
      <w:r w:rsidRPr="009F5A41">
        <w:rPr>
          <w:rFonts w:ascii="Arial" w:hAnsi="Arial" w:cs="Arial"/>
          <w:spacing w:val="-2"/>
        </w:rPr>
        <w:t>generó</w:t>
      </w:r>
      <w:r w:rsidRPr="009F5A41">
        <w:rPr>
          <w:rFonts w:ascii="Arial" w:hAnsi="Arial" w:cs="Arial"/>
          <w:spacing w:val="-11"/>
        </w:rPr>
        <w:t xml:space="preserve"> </w:t>
      </w:r>
      <w:r w:rsidRPr="009F5A41">
        <w:rPr>
          <w:rFonts w:ascii="Arial" w:hAnsi="Arial" w:cs="Arial"/>
          <w:spacing w:val="-2"/>
        </w:rPr>
        <w:t>sobrestimación</w:t>
      </w:r>
      <w:r w:rsidRPr="009F5A41">
        <w:rPr>
          <w:rFonts w:ascii="Arial" w:hAnsi="Arial" w:cs="Arial"/>
          <w:spacing w:val="-11"/>
        </w:rPr>
        <w:t xml:space="preserve"> </w:t>
      </w:r>
      <w:r w:rsidRPr="009F5A41">
        <w:rPr>
          <w:rFonts w:ascii="Arial" w:hAnsi="Arial" w:cs="Arial"/>
          <w:spacing w:val="-2"/>
        </w:rPr>
        <w:t>en</w:t>
      </w:r>
      <w:r w:rsidRPr="009F5A41">
        <w:rPr>
          <w:rFonts w:ascii="Arial" w:hAnsi="Arial" w:cs="Arial"/>
          <w:spacing w:val="-11"/>
        </w:rPr>
        <w:t xml:space="preserve"> </w:t>
      </w:r>
      <w:r w:rsidRPr="009F5A41">
        <w:rPr>
          <w:rFonts w:ascii="Arial" w:hAnsi="Arial" w:cs="Arial"/>
          <w:spacing w:val="-2"/>
        </w:rPr>
        <w:t>los</w:t>
      </w:r>
      <w:r w:rsidRPr="009F5A41">
        <w:rPr>
          <w:rFonts w:ascii="Arial" w:hAnsi="Arial" w:cs="Arial"/>
          <w:spacing w:val="-11"/>
        </w:rPr>
        <w:t xml:space="preserve"> </w:t>
      </w:r>
      <w:r w:rsidRPr="009F5A41">
        <w:rPr>
          <w:rFonts w:ascii="Arial" w:hAnsi="Arial" w:cs="Arial"/>
          <w:spacing w:val="-2"/>
        </w:rPr>
        <w:t>gastos</w:t>
      </w:r>
      <w:r w:rsidRPr="009F5A41">
        <w:rPr>
          <w:rFonts w:ascii="Arial" w:hAnsi="Arial" w:cs="Arial"/>
          <w:spacing w:val="-11"/>
        </w:rPr>
        <w:t xml:space="preserve"> </w:t>
      </w:r>
      <w:r w:rsidRPr="009F5A41">
        <w:rPr>
          <w:rFonts w:ascii="Arial" w:hAnsi="Arial" w:cs="Arial"/>
          <w:spacing w:val="-2"/>
        </w:rPr>
        <w:t>del</w:t>
      </w:r>
      <w:r w:rsidRPr="009F5A41">
        <w:rPr>
          <w:rFonts w:ascii="Arial" w:hAnsi="Arial" w:cs="Arial"/>
          <w:spacing w:val="-11"/>
        </w:rPr>
        <w:t xml:space="preserve"> </w:t>
      </w:r>
      <w:r w:rsidRPr="009F5A41">
        <w:rPr>
          <w:rFonts w:ascii="Arial" w:hAnsi="Arial" w:cs="Arial"/>
          <w:spacing w:val="-2"/>
        </w:rPr>
        <w:t>FRISC,</w:t>
      </w:r>
      <w:r w:rsidRPr="009F5A41">
        <w:rPr>
          <w:rFonts w:ascii="Arial" w:hAnsi="Arial" w:cs="Arial"/>
          <w:spacing w:val="-11"/>
        </w:rPr>
        <w:t xml:space="preserve"> </w:t>
      </w:r>
      <w:r w:rsidRPr="009F5A41">
        <w:rPr>
          <w:rFonts w:ascii="Arial" w:hAnsi="Arial" w:cs="Arial"/>
          <w:spacing w:val="-2"/>
        </w:rPr>
        <w:t>por</w:t>
      </w:r>
      <w:r w:rsidRPr="009F5A41">
        <w:rPr>
          <w:rFonts w:ascii="Arial" w:hAnsi="Arial" w:cs="Arial"/>
          <w:spacing w:val="-11"/>
        </w:rPr>
        <w:t xml:space="preserve"> </w:t>
      </w:r>
      <w:r w:rsidRPr="009F5A41">
        <w:rPr>
          <w:rFonts w:ascii="Arial" w:hAnsi="Arial" w:cs="Arial"/>
          <w:spacing w:val="-2"/>
        </w:rPr>
        <w:t>registros</w:t>
      </w:r>
      <w:r w:rsidRPr="009F5A41">
        <w:rPr>
          <w:rFonts w:ascii="Arial" w:hAnsi="Arial" w:cs="Arial"/>
          <w:spacing w:val="-11"/>
        </w:rPr>
        <w:t xml:space="preserve"> </w:t>
      </w:r>
      <w:r w:rsidRPr="009F5A41">
        <w:rPr>
          <w:rFonts w:ascii="Arial" w:hAnsi="Arial" w:cs="Arial"/>
          <w:spacing w:val="-2"/>
        </w:rPr>
        <w:t xml:space="preserve">contables </w:t>
      </w:r>
      <w:r w:rsidRPr="009F5A41">
        <w:rPr>
          <w:rFonts w:ascii="Arial" w:hAnsi="Arial" w:cs="Arial"/>
        </w:rPr>
        <w:t>que pertenecen a otra entidad, con afectación en los pasivos y en la razonabilidad de los estados financieros de la vigencia 2022.</w:t>
      </w:r>
    </w:p>
    <w:p w:rsidR="00DD24A3" w:rsidRDefault="00DD24A3" w:rsidP="00DD24A3">
      <w:pPr>
        <w:pStyle w:val="Textoindependiente"/>
        <w:spacing w:line="237" w:lineRule="auto"/>
        <w:ind w:left="-284" w:right="-518"/>
        <w:jc w:val="both"/>
        <w:rPr>
          <w:rFonts w:ascii="Arial" w:hAnsi="Arial" w:cs="Arial"/>
        </w:rPr>
      </w:pPr>
    </w:p>
    <w:p w:rsidR="00C11C14" w:rsidRDefault="00C11C14" w:rsidP="00DD24A3">
      <w:pPr>
        <w:pStyle w:val="Textoindependiente"/>
        <w:spacing w:line="237" w:lineRule="auto"/>
        <w:ind w:left="-284" w:right="-518"/>
        <w:jc w:val="both"/>
        <w:rPr>
          <w:rFonts w:ascii="Arial" w:hAnsi="Arial" w:cs="Arial"/>
        </w:rPr>
      </w:pPr>
    </w:p>
    <w:p w:rsidR="00DD24A3" w:rsidRDefault="00DD24A3" w:rsidP="00DD24A3">
      <w:pPr>
        <w:pStyle w:val="Textoindependiente"/>
        <w:spacing w:line="237" w:lineRule="auto"/>
        <w:ind w:left="-284" w:right="-518"/>
        <w:jc w:val="both"/>
        <w:rPr>
          <w:rFonts w:ascii="Arial" w:hAnsi="Arial" w:cs="Arial"/>
        </w:rPr>
      </w:pPr>
      <w:r>
        <w:rPr>
          <w:rFonts w:ascii="Arial" w:hAnsi="Arial" w:cs="Arial"/>
        </w:rPr>
        <w:t>-</w:t>
      </w:r>
      <w:r w:rsidRPr="009F5A41">
        <w:rPr>
          <w:rFonts w:ascii="Arial" w:hAnsi="Arial" w:cs="Arial"/>
        </w:rPr>
        <w:t>Incorrección</w:t>
      </w:r>
      <w:r w:rsidRPr="009F5A41">
        <w:rPr>
          <w:rFonts w:ascii="Arial" w:hAnsi="Arial" w:cs="Arial"/>
          <w:spacing w:val="62"/>
          <w:w w:val="150"/>
        </w:rPr>
        <w:t xml:space="preserve"> </w:t>
      </w:r>
      <w:r w:rsidRPr="009F5A41">
        <w:rPr>
          <w:rFonts w:ascii="Arial" w:hAnsi="Arial" w:cs="Arial"/>
        </w:rPr>
        <w:t>de</w:t>
      </w:r>
      <w:r w:rsidRPr="009F5A41">
        <w:rPr>
          <w:rFonts w:ascii="Arial" w:hAnsi="Arial" w:cs="Arial"/>
          <w:spacing w:val="62"/>
          <w:w w:val="150"/>
        </w:rPr>
        <w:t xml:space="preserve"> </w:t>
      </w:r>
      <w:r w:rsidRPr="009F5A41">
        <w:rPr>
          <w:rFonts w:ascii="Arial" w:hAnsi="Arial" w:cs="Arial"/>
        </w:rPr>
        <w:t>cantidad</w:t>
      </w:r>
      <w:r w:rsidRPr="009F5A41">
        <w:rPr>
          <w:rFonts w:ascii="Arial" w:hAnsi="Arial" w:cs="Arial"/>
          <w:spacing w:val="62"/>
          <w:w w:val="150"/>
        </w:rPr>
        <w:t xml:space="preserve"> </w:t>
      </w:r>
      <w:r w:rsidRPr="009F5A41">
        <w:rPr>
          <w:rFonts w:ascii="Arial" w:hAnsi="Arial" w:cs="Arial"/>
        </w:rPr>
        <w:t>de</w:t>
      </w:r>
      <w:r w:rsidRPr="009F5A41">
        <w:rPr>
          <w:rFonts w:ascii="Arial" w:hAnsi="Arial" w:cs="Arial"/>
          <w:spacing w:val="62"/>
          <w:w w:val="150"/>
        </w:rPr>
        <w:t xml:space="preserve"> </w:t>
      </w:r>
      <w:r w:rsidRPr="009F5A41">
        <w:rPr>
          <w:rFonts w:ascii="Arial" w:hAnsi="Arial" w:cs="Arial"/>
        </w:rPr>
        <w:t>gastos</w:t>
      </w:r>
      <w:r w:rsidRPr="009F5A41">
        <w:rPr>
          <w:rFonts w:ascii="Arial" w:hAnsi="Arial" w:cs="Arial"/>
          <w:spacing w:val="62"/>
          <w:w w:val="150"/>
        </w:rPr>
        <w:t xml:space="preserve"> </w:t>
      </w:r>
      <w:r w:rsidRPr="009F5A41">
        <w:rPr>
          <w:rFonts w:ascii="Arial" w:hAnsi="Arial" w:cs="Arial"/>
        </w:rPr>
        <w:t>diversos</w:t>
      </w:r>
      <w:r w:rsidRPr="009F5A41">
        <w:rPr>
          <w:rFonts w:ascii="Arial" w:hAnsi="Arial" w:cs="Arial"/>
          <w:spacing w:val="62"/>
          <w:w w:val="150"/>
        </w:rPr>
        <w:t xml:space="preserve"> </w:t>
      </w:r>
      <w:r w:rsidRPr="009F5A41">
        <w:rPr>
          <w:rFonts w:ascii="Arial" w:hAnsi="Arial" w:cs="Arial"/>
        </w:rPr>
        <w:t>de</w:t>
      </w:r>
      <w:r w:rsidRPr="009F5A41">
        <w:rPr>
          <w:rFonts w:ascii="Arial" w:hAnsi="Arial" w:cs="Arial"/>
          <w:spacing w:val="62"/>
          <w:w w:val="150"/>
        </w:rPr>
        <w:t xml:space="preserve"> </w:t>
      </w:r>
      <w:r w:rsidRPr="009F5A41">
        <w:rPr>
          <w:rFonts w:ascii="Arial" w:hAnsi="Arial" w:cs="Arial"/>
        </w:rPr>
        <w:t>sentencias</w:t>
      </w:r>
      <w:r w:rsidRPr="009F5A41">
        <w:rPr>
          <w:rFonts w:ascii="Arial" w:hAnsi="Arial" w:cs="Arial"/>
          <w:spacing w:val="62"/>
          <w:w w:val="150"/>
        </w:rPr>
        <w:t xml:space="preserve"> </w:t>
      </w:r>
      <w:r w:rsidRPr="009F5A41">
        <w:rPr>
          <w:rFonts w:ascii="Arial" w:hAnsi="Arial" w:cs="Arial"/>
          <w:spacing w:val="-5"/>
        </w:rPr>
        <w:t>por</w:t>
      </w:r>
      <w:r>
        <w:rPr>
          <w:rFonts w:ascii="Arial" w:hAnsi="Arial" w:cs="Arial"/>
          <w:spacing w:val="-5"/>
        </w:rPr>
        <w:t xml:space="preserve"> </w:t>
      </w:r>
      <w:r w:rsidRPr="009F5A41">
        <w:rPr>
          <w:rFonts w:ascii="Arial" w:hAnsi="Arial" w:cs="Arial"/>
        </w:rPr>
        <w:t>$185,2</w:t>
      </w:r>
      <w:r w:rsidRPr="009F5A41">
        <w:rPr>
          <w:rFonts w:ascii="Arial" w:hAnsi="Arial" w:cs="Arial"/>
          <w:spacing w:val="40"/>
        </w:rPr>
        <w:t xml:space="preserve"> </w:t>
      </w:r>
      <w:r w:rsidRPr="009F5A41">
        <w:rPr>
          <w:rFonts w:ascii="Arial" w:hAnsi="Arial" w:cs="Arial"/>
        </w:rPr>
        <w:t>millones,</w:t>
      </w:r>
      <w:r w:rsidRPr="009F5A41">
        <w:rPr>
          <w:rFonts w:ascii="Arial" w:hAnsi="Arial" w:cs="Arial"/>
          <w:spacing w:val="40"/>
        </w:rPr>
        <w:t xml:space="preserve"> </w:t>
      </w:r>
      <w:r w:rsidRPr="009F5A41">
        <w:rPr>
          <w:rFonts w:ascii="Arial" w:hAnsi="Arial" w:cs="Arial"/>
        </w:rPr>
        <w:t>debido</w:t>
      </w:r>
      <w:r w:rsidRPr="009F5A41">
        <w:rPr>
          <w:rFonts w:ascii="Arial" w:hAnsi="Arial" w:cs="Arial"/>
          <w:spacing w:val="40"/>
        </w:rPr>
        <w:t xml:space="preserve"> </w:t>
      </w:r>
      <w:r w:rsidRPr="009F5A41">
        <w:rPr>
          <w:rFonts w:ascii="Arial" w:hAnsi="Arial" w:cs="Arial"/>
        </w:rPr>
        <w:t>a</w:t>
      </w:r>
      <w:r w:rsidRPr="009F5A41">
        <w:rPr>
          <w:rFonts w:ascii="Arial" w:hAnsi="Arial" w:cs="Arial"/>
          <w:spacing w:val="40"/>
        </w:rPr>
        <w:t xml:space="preserve"> </w:t>
      </w:r>
      <w:r w:rsidRPr="009F5A41">
        <w:rPr>
          <w:rFonts w:ascii="Arial" w:hAnsi="Arial" w:cs="Arial"/>
        </w:rPr>
        <w:t>que</w:t>
      </w:r>
      <w:r w:rsidRPr="009F5A41">
        <w:rPr>
          <w:rFonts w:ascii="Arial" w:hAnsi="Arial" w:cs="Arial"/>
          <w:spacing w:val="40"/>
        </w:rPr>
        <w:t xml:space="preserve"> </w:t>
      </w:r>
      <w:r w:rsidRPr="009F5A41">
        <w:rPr>
          <w:rFonts w:ascii="Arial" w:hAnsi="Arial" w:cs="Arial"/>
        </w:rPr>
        <w:t>los</w:t>
      </w:r>
      <w:r w:rsidRPr="009F5A41">
        <w:rPr>
          <w:rFonts w:ascii="Arial" w:hAnsi="Arial" w:cs="Arial"/>
          <w:spacing w:val="40"/>
        </w:rPr>
        <w:t xml:space="preserve"> </w:t>
      </w:r>
      <w:r w:rsidRPr="009F5A41">
        <w:rPr>
          <w:rFonts w:ascii="Arial" w:hAnsi="Arial" w:cs="Arial"/>
        </w:rPr>
        <w:t>estados</w:t>
      </w:r>
      <w:r w:rsidRPr="009F5A41">
        <w:rPr>
          <w:rFonts w:ascii="Arial" w:hAnsi="Arial" w:cs="Arial"/>
          <w:spacing w:val="40"/>
        </w:rPr>
        <w:t xml:space="preserve"> </w:t>
      </w:r>
      <w:r w:rsidRPr="009F5A41">
        <w:rPr>
          <w:rFonts w:ascii="Arial" w:hAnsi="Arial" w:cs="Arial"/>
        </w:rPr>
        <w:t>financieros</w:t>
      </w:r>
      <w:r w:rsidRPr="009F5A41">
        <w:rPr>
          <w:rFonts w:ascii="Arial" w:hAnsi="Arial" w:cs="Arial"/>
          <w:spacing w:val="40"/>
        </w:rPr>
        <w:t xml:space="preserve"> </w:t>
      </w:r>
      <w:r w:rsidRPr="009F5A41">
        <w:rPr>
          <w:rFonts w:ascii="Arial" w:hAnsi="Arial" w:cs="Arial"/>
        </w:rPr>
        <w:t>del</w:t>
      </w:r>
      <w:r w:rsidRPr="009F5A41">
        <w:rPr>
          <w:rFonts w:ascii="Arial" w:hAnsi="Arial" w:cs="Arial"/>
          <w:spacing w:val="40"/>
        </w:rPr>
        <w:t xml:space="preserve"> </w:t>
      </w:r>
      <w:r w:rsidRPr="009F5A41">
        <w:rPr>
          <w:rFonts w:ascii="Arial" w:hAnsi="Arial" w:cs="Arial"/>
        </w:rPr>
        <w:t>Fondo para la Rehabilitación, Inversión Social y Lucha Contra el Crimen Organizado (Frisco), a 31 de diciembre de 2022, reflejaban gastos diversos derivados de sentencias causadas y pagadas de la Sociedad de Activos Especiales (SAE) S.A.S., contraviniendo lo establecido en la Resolución.116 de 2017 de la Contaduría General de la Nación, numeral</w:t>
      </w:r>
      <w:r w:rsidRPr="009F5A41">
        <w:rPr>
          <w:rFonts w:ascii="Arial" w:hAnsi="Arial" w:cs="Arial"/>
          <w:spacing w:val="-8"/>
        </w:rPr>
        <w:t xml:space="preserve"> </w:t>
      </w:r>
      <w:r w:rsidRPr="009F5A41">
        <w:rPr>
          <w:rFonts w:ascii="Arial" w:hAnsi="Arial" w:cs="Arial"/>
        </w:rPr>
        <w:t>2.4,</w:t>
      </w:r>
      <w:r w:rsidRPr="009F5A41">
        <w:rPr>
          <w:rFonts w:ascii="Arial" w:hAnsi="Arial" w:cs="Arial"/>
          <w:spacing w:val="-8"/>
        </w:rPr>
        <w:t xml:space="preserve"> </w:t>
      </w:r>
      <w:r w:rsidRPr="009F5A41">
        <w:rPr>
          <w:rFonts w:ascii="Arial" w:hAnsi="Arial" w:cs="Arial"/>
        </w:rPr>
        <w:t>lo</w:t>
      </w:r>
      <w:r w:rsidRPr="009F5A41">
        <w:rPr>
          <w:rFonts w:ascii="Arial" w:hAnsi="Arial" w:cs="Arial"/>
          <w:spacing w:val="-8"/>
        </w:rPr>
        <w:t xml:space="preserve"> </w:t>
      </w:r>
      <w:r w:rsidRPr="009F5A41">
        <w:rPr>
          <w:rFonts w:ascii="Arial" w:hAnsi="Arial" w:cs="Arial"/>
        </w:rPr>
        <w:t>cual</w:t>
      </w:r>
      <w:r w:rsidRPr="009F5A41">
        <w:rPr>
          <w:rFonts w:ascii="Arial" w:hAnsi="Arial" w:cs="Arial"/>
          <w:spacing w:val="-8"/>
        </w:rPr>
        <w:t xml:space="preserve"> </w:t>
      </w:r>
      <w:r w:rsidRPr="009F5A41">
        <w:rPr>
          <w:rFonts w:ascii="Arial" w:hAnsi="Arial" w:cs="Arial"/>
        </w:rPr>
        <w:t>generó</w:t>
      </w:r>
      <w:r w:rsidRPr="009F5A41">
        <w:rPr>
          <w:rFonts w:ascii="Arial" w:hAnsi="Arial" w:cs="Arial"/>
          <w:spacing w:val="-9"/>
        </w:rPr>
        <w:t xml:space="preserve"> </w:t>
      </w:r>
      <w:r w:rsidRPr="009F5A41">
        <w:rPr>
          <w:rFonts w:ascii="Arial" w:hAnsi="Arial" w:cs="Arial"/>
        </w:rPr>
        <w:t>sobrestimación</w:t>
      </w:r>
      <w:r w:rsidRPr="009F5A41">
        <w:rPr>
          <w:rFonts w:ascii="Arial" w:hAnsi="Arial" w:cs="Arial"/>
          <w:spacing w:val="-8"/>
        </w:rPr>
        <w:t xml:space="preserve"> </w:t>
      </w:r>
      <w:r w:rsidRPr="009F5A41">
        <w:rPr>
          <w:rFonts w:ascii="Arial" w:hAnsi="Arial" w:cs="Arial"/>
        </w:rPr>
        <w:t>en</w:t>
      </w:r>
      <w:r w:rsidRPr="009F5A41">
        <w:rPr>
          <w:rFonts w:ascii="Arial" w:hAnsi="Arial" w:cs="Arial"/>
          <w:spacing w:val="-8"/>
        </w:rPr>
        <w:t xml:space="preserve"> </w:t>
      </w:r>
      <w:r w:rsidRPr="009F5A41">
        <w:rPr>
          <w:rFonts w:ascii="Arial" w:hAnsi="Arial" w:cs="Arial"/>
        </w:rPr>
        <w:t>los</w:t>
      </w:r>
      <w:r w:rsidRPr="009F5A41">
        <w:rPr>
          <w:rFonts w:ascii="Arial" w:hAnsi="Arial" w:cs="Arial"/>
          <w:spacing w:val="-8"/>
        </w:rPr>
        <w:t xml:space="preserve"> </w:t>
      </w:r>
      <w:r w:rsidRPr="009F5A41">
        <w:rPr>
          <w:rFonts w:ascii="Arial" w:hAnsi="Arial" w:cs="Arial"/>
        </w:rPr>
        <w:t>gastos</w:t>
      </w:r>
      <w:r w:rsidRPr="009F5A41">
        <w:rPr>
          <w:rFonts w:ascii="Arial" w:hAnsi="Arial" w:cs="Arial"/>
          <w:spacing w:val="-8"/>
        </w:rPr>
        <w:t xml:space="preserve"> </w:t>
      </w:r>
      <w:r w:rsidRPr="009F5A41">
        <w:rPr>
          <w:rFonts w:ascii="Arial" w:hAnsi="Arial" w:cs="Arial"/>
        </w:rPr>
        <w:t>del</w:t>
      </w:r>
      <w:r w:rsidRPr="009F5A41">
        <w:rPr>
          <w:rFonts w:ascii="Arial" w:hAnsi="Arial" w:cs="Arial"/>
          <w:spacing w:val="-8"/>
        </w:rPr>
        <w:t xml:space="preserve"> </w:t>
      </w:r>
      <w:r w:rsidRPr="009F5A41">
        <w:rPr>
          <w:rFonts w:ascii="Arial" w:hAnsi="Arial" w:cs="Arial"/>
        </w:rPr>
        <w:t>FRISCO, con efecto en los pasivos, por registros contables que pertenecen a otra</w:t>
      </w:r>
      <w:r w:rsidRPr="009F5A41">
        <w:rPr>
          <w:rFonts w:ascii="Arial" w:hAnsi="Arial" w:cs="Arial"/>
          <w:spacing w:val="-6"/>
        </w:rPr>
        <w:t xml:space="preserve"> </w:t>
      </w:r>
      <w:r w:rsidRPr="009F5A41">
        <w:rPr>
          <w:rFonts w:ascii="Arial" w:hAnsi="Arial" w:cs="Arial"/>
        </w:rPr>
        <w:t>entidad,</w:t>
      </w:r>
      <w:r w:rsidRPr="009F5A41">
        <w:rPr>
          <w:rFonts w:ascii="Arial" w:hAnsi="Arial" w:cs="Arial"/>
          <w:spacing w:val="-6"/>
        </w:rPr>
        <w:t xml:space="preserve"> </w:t>
      </w:r>
      <w:r w:rsidRPr="009F5A41">
        <w:rPr>
          <w:rFonts w:ascii="Arial" w:hAnsi="Arial" w:cs="Arial"/>
        </w:rPr>
        <w:t>lo</w:t>
      </w:r>
      <w:r w:rsidRPr="009F5A41">
        <w:rPr>
          <w:rFonts w:ascii="Arial" w:hAnsi="Arial" w:cs="Arial"/>
          <w:spacing w:val="-6"/>
        </w:rPr>
        <w:t xml:space="preserve"> </w:t>
      </w:r>
      <w:r w:rsidRPr="009F5A41">
        <w:rPr>
          <w:rFonts w:ascii="Arial" w:hAnsi="Arial" w:cs="Arial"/>
        </w:rPr>
        <w:t>cual</w:t>
      </w:r>
      <w:r w:rsidRPr="009F5A41">
        <w:rPr>
          <w:rFonts w:ascii="Arial" w:hAnsi="Arial" w:cs="Arial"/>
          <w:spacing w:val="-6"/>
        </w:rPr>
        <w:t xml:space="preserve"> </w:t>
      </w:r>
      <w:r w:rsidRPr="009F5A41">
        <w:rPr>
          <w:rFonts w:ascii="Arial" w:hAnsi="Arial" w:cs="Arial"/>
        </w:rPr>
        <w:t>afectó</w:t>
      </w:r>
      <w:r w:rsidRPr="009F5A41">
        <w:rPr>
          <w:rFonts w:ascii="Arial" w:hAnsi="Arial" w:cs="Arial"/>
          <w:spacing w:val="-6"/>
        </w:rPr>
        <w:t xml:space="preserve"> </w:t>
      </w:r>
      <w:r w:rsidRPr="009F5A41">
        <w:rPr>
          <w:rFonts w:ascii="Arial" w:hAnsi="Arial" w:cs="Arial"/>
        </w:rPr>
        <w:t>la</w:t>
      </w:r>
      <w:r w:rsidRPr="009F5A41">
        <w:rPr>
          <w:rFonts w:ascii="Arial" w:hAnsi="Arial" w:cs="Arial"/>
          <w:spacing w:val="-6"/>
        </w:rPr>
        <w:t xml:space="preserve"> </w:t>
      </w:r>
      <w:r w:rsidRPr="009F5A41">
        <w:rPr>
          <w:rFonts w:ascii="Arial" w:hAnsi="Arial" w:cs="Arial"/>
        </w:rPr>
        <w:t>razonabilidad</w:t>
      </w:r>
      <w:r w:rsidRPr="009F5A41">
        <w:rPr>
          <w:rFonts w:ascii="Arial" w:hAnsi="Arial" w:cs="Arial"/>
          <w:spacing w:val="-6"/>
        </w:rPr>
        <w:t xml:space="preserve"> </w:t>
      </w:r>
      <w:r w:rsidRPr="009F5A41">
        <w:rPr>
          <w:rFonts w:ascii="Arial" w:hAnsi="Arial" w:cs="Arial"/>
        </w:rPr>
        <w:t>de</w:t>
      </w:r>
      <w:r w:rsidRPr="009F5A41">
        <w:rPr>
          <w:rFonts w:ascii="Arial" w:hAnsi="Arial" w:cs="Arial"/>
          <w:spacing w:val="-6"/>
        </w:rPr>
        <w:t xml:space="preserve"> </w:t>
      </w:r>
      <w:r w:rsidRPr="009F5A41">
        <w:rPr>
          <w:rFonts w:ascii="Arial" w:hAnsi="Arial" w:cs="Arial"/>
        </w:rPr>
        <w:t>los</w:t>
      </w:r>
      <w:r w:rsidRPr="009F5A41">
        <w:rPr>
          <w:rFonts w:ascii="Arial" w:hAnsi="Arial" w:cs="Arial"/>
          <w:spacing w:val="-6"/>
        </w:rPr>
        <w:t xml:space="preserve"> </w:t>
      </w:r>
      <w:r w:rsidRPr="009F5A41">
        <w:rPr>
          <w:rFonts w:ascii="Arial" w:hAnsi="Arial" w:cs="Arial"/>
        </w:rPr>
        <w:t>estados</w:t>
      </w:r>
      <w:r w:rsidRPr="009F5A41">
        <w:rPr>
          <w:rFonts w:ascii="Arial" w:hAnsi="Arial" w:cs="Arial"/>
          <w:spacing w:val="-6"/>
        </w:rPr>
        <w:t xml:space="preserve"> </w:t>
      </w:r>
      <w:r w:rsidRPr="009F5A41">
        <w:rPr>
          <w:rFonts w:ascii="Arial" w:hAnsi="Arial" w:cs="Arial"/>
        </w:rPr>
        <w:t>financieros de la vigencia 2022.</w:t>
      </w:r>
    </w:p>
    <w:p w:rsidR="00DD24A3" w:rsidRDefault="00DD24A3" w:rsidP="00DD24A3">
      <w:pPr>
        <w:pStyle w:val="Textoindependiente"/>
        <w:spacing w:line="237" w:lineRule="auto"/>
        <w:ind w:left="-284" w:right="-518"/>
        <w:jc w:val="both"/>
        <w:rPr>
          <w:rFonts w:ascii="Arial" w:hAnsi="Arial" w:cs="Arial"/>
        </w:rPr>
      </w:pPr>
    </w:p>
    <w:p w:rsidR="00C11C14" w:rsidRDefault="00C11C14" w:rsidP="00DD24A3">
      <w:pPr>
        <w:pStyle w:val="Textoindependiente"/>
        <w:spacing w:line="237" w:lineRule="auto"/>
        <w:ind w:left="-284" w:right="-518"/>
        <w:jc w:val="both"/>
        <w:rPr>
          <w:rFonts w:ascii="Arial" w:hAnsi="Arial" w:cs="Arial"/>
          <w:b/>
          <w:sz w:val="28"/>
          <w:szCs w:val="28"/>
        </w:rPr>
      </w:pPr>
    </w:p>
    <w:p w:rsidR="00DD24A3" w:rsidRPr="00E04FEB" w:rsidRDefault="00DD24A3" w:rsidP="00DD24A3">
      <w:pPr>
        <w:pStyle w:val="Textoindependiente"/>
        <w:spacing w:line="237" w:lineRule="auto"/>
        <w:ind w:left="-284" w:right="-518"/>
        <w:jc w:val="both"/>
        <w:rPr>
          <w:rFonts w:ascii="Arial" w:hAnsi="Arial" w:cs="Arial"/>
          <w:b/>
          <w:spacing w:val="-2"/>
          <w:sz w:val="28"/>
          <w:szCs w:val="28"/>
        </w:rPr>
      </w:pPr>
      <w:r w:rsidRPr="00E04FEB">
        <w:rPr>
          <w:rFonts w:ascii="Arial" w:hAnsi="Arial" w:cs="Arial"/>
          <w:b/>
          <w:sz w:val="28"/>
          <w:szCs w:val="28"/>
        </w:rPr>
        <w:t>Control</w:t>
      </w:r>
      <w:r w:rsidRPr="00E04FEB">
        <w:rPr>
          <w:rFonts w:ascii="Arial" w:hAnsi="Arial" w:cs="Arial"/>
          <w:b/>
          <w:spacing w:val="-10"/>
          <w:sz w:val="28"/>
          <w:szCs w:val="28"/>
        </w:rPr>
        <w:t xml:space="preserve"> </w:t>
      </w:r>
      <w:r w:rsidRPr="00E04FEB">
        <w:rPr>
          <w:rFonts w:ascii="Arial" w:hAnsi="Arial" w:cs="Arial"/>
          <w:b/>
          <w:sz w:val="28"/>
          <w:szCs w:val="28"/>
        </w:rPr>
        <w:t>interno</w:t>
      </w:r>
      <w:r w:rsidRPr="00E04FEB">
        <w:rPr>
          <w:rFonts w:ascii="Arial" w:hAnsi="Arial" w:cs="Arial"/>
          <w:b/>
          <w:spacing w:val="-9"/>
          <w:sz w:val="28"/>
          <w:szCs w:val="28"/>
        </w:rPr>
        <w:t xml:space="preserve"> </w:t>
      </w:r>
      <w:r w:rsidRPr="00E04FEB">
        <w:rPr>
          <w:rFonts w:ascii="Arial" w:hAnsi="Arial" w:cs="Arial"/>
          <w:b/>
          <w:sz w:val="28"/>
          <w:szCs w:val="28"/>
        </w:rPr>
        <w:t>financiero:</w:t>
      </w:r>
      <w:r w:rsidRPr="00E04FEB">
        <w:rPr>
          <w:rFonts w:ascii="Arial" w:hAnsi="Arial" w:cs="Arial"/>
          <w:b/>
          <w:spacing w:val="-9"/>
          <w:sz w:val="28"/>
          <w:szCs w:val="28"/>
        </w:rPr>
        <w:t xml:space="preserve"> </w:t>
      </w:r>
      <w:r w:rsidRPr="00E04FEB">
        <w:rPr>
          <w:rFonts w:ascii="Arial" w:hAnsi="Arial" w:cs="Arial"/>
          <w:b/>
          <w:spacing w:val="-2"/>
          <w:sz w:val="28"/>
          <w:szCs w:val="28"/>
        </w:rPr>
        <w:t>ineficiente.</w:t>
      </w:r>
    </w:p>
    <w:p w:rsidR="00DD24A3" w:rsidRDefault="00DD24A3" w:rsidP="00DD24A3">
      <w:pPr>
        <w:pStyle w:val="Textoindependiente"/>
        <w:spacing w:line="237" w:lineRule="auto"/>
        <w:ind w:left="-284" w:right="-518"/>
        <w:jc w:val="both"/>
        <w:rPr>
          <w:rFonts w:ascii="Arial" w:hAnsi="Arial" w:cs="Arial"/>
          <w:spacing w:val="-2"/>
        </w:rPr>
      </w:pPr>
    </w:p>
    <w:p w:rsidR="00DD24A3" w:rsidRDefault="00DD24A3" w:rsidP="00DD24A3">
      <w:pPr>
        <w:pStyle w:val="Textoindependiente"/>
        <w:spacing w:line="237" w:lineRule="auto"/>
        <w:ind w:left="-284" w:right="-518"/>
        <w:jc w:val="both"/>
        <w:rPr>
          <w:rFonts w:ascii="Arial" w:hAnsi="Arial" w:cs="Arial"/>
          <w:spacing w:val="-6"/>
        </w:rPr>
      </w:pPr>
      <w:r>
        <w:rPr>
          <w:rFonts w:ascii="Arial" w:hAnsi="Arial" w:cs="Arial"/>
          <w:spacing w:val="-10"/>
        </w:rPr>
        <w:t>-</w:t>
      </w:r>
      <w:r w:rsidRPr="009F5A41">
        <w:rPr>
          <w:rFonts w:ascii="Arial" w:hAnsi="Arial" w:cs="Arial"/>
          <w:spacing w:val="-10"/>
        </w:rPr>
        <w:t>Gestiones de</w:t>
      </w:r>
      <w:r w:rsidRPr="009F5A41">
        <w:rPr>
          <w:rFonts w:ascii="Arial" w:hAnsi="Arial" w:cs="Arial"/>
          <w:spacing w:val="-8"/>
        </w:rPr>
        <w:t xml:space="preserve"> </w:t>
      </w:r>
      <w:r w:rsidRPr="009F5A41">
        <w:rPr>
          <w:rFonts w:ascii="Arial" w:hAnsi="Arial" w:cs="Arial"/>
          <w:spacing w:val="-10"/>
        </w:rPr>
        <w:t>cobro de</w:t>
      </w:r>
      <w:r w:rsidRPr="009F5A41">
        <w:rPr>
          <w:rFonts w:ascii="Arial" w:hAnsi="Arial" w:cs="Arial"/>
          <w:spacing w:val="-9"/>
        </w:rPr>
        <w:t xml:space="preserve"> </w:t>
      </w:r>
      <w:r w:rsidRPr="009F5A41">
        <w:rPr>
          <w:rFonts w:ascii="Arial" w:hAnsi="Arial" w:cs="Arial"/>
          <w:spacing w:val="-10"/>
        </w:rPr>
        <w:t>cartera</w:t>
      </w:r>
      <w:r w:rsidRPr="009F5A41">
        <w:rPr>
          <w:rFonts w:ascii="Arial" w:hAnsi="Arial" w:cs="Arial"/>
          <w:spacing w:val="-8"/>
        </w:rPr>
        <w:t xml:space="preserve"> </w:t>
      </w:r>
      <w:r w:rsidRPr="009F5A41">
        <w:rPr>
          <w:rFonts w:ascii="Arial" w:hAnsi="Arial" w:cs="Arial"/>
          <w:spacing w:val="-10"/>
        </w:rPr>
        <w:t>ineficientes e</w:t>
      </w:r>
      <w:r w:rsidRPr="009F5A41">
        <w:rPr>
          <w:rFonts w:ascii="Arial" w:hAnsi="Arial" w:cs="Arial"/>
          <w:spacing w:val="-7"/>
        </w:rPr>
        <w:t xml:space="preserve"> </w:t>
      </w:r>
      <w:r w:rsidRPr="009F5A41">
        <w:rPr>
          <w:rFonts w:ascii="Arial" w:hAnsi="Arial" w:cs="Arial"/>
          <w:spacing w:val="-10"/>
        </w:rPr>
        <w:t>inefectivas, falta</w:t>
      </w:r>
      <w:r w:rsidRPr="009F5A41">
        <w:rPr>
          <w:rFonts w:ascii="Arial" w:hAnsi="Arial" w:cs="Arial"/>
          <w:spacing w:val="-7"/>
        </w:rPr>
        <w:t xml:space="preserve"> </w:t>
      </w:r>
      <w:r w:rsidRPr="009F5A41">
        <w:rPr>
          <w:rFonts w:ascii="Arial" w:hAnsi="Arial" w:cs="Arial"/>
          <w:spacing w:val="-10"/>
        </w:rPr>
        <w:t xml:space="preserve">de articulación </w:t>
      </w:r>
      <w:r w:rsidRPr="009F5A41">
        <w:rPr>
          <w:rFonts w:ascii="Arial" w:hAnsi="Arial" w:cs="Arial"/>
          <w:spacing w:val="-6"/>
        </w:rPr>
        <w:t>entre</w:t>
      </w:r>
      <w:r w:rsidRPr="009F5A41">
        <w:rPr>
          <w:rFonts w:ascii="Arial" w:hAnsi="Arial" w:cs="Arial"/>
          <w:spacing w:val="-14"/>
        </w:rPr>
        <w:t xml:space="preserve"> </w:t>
      </w:r>
      <w:r w:rsidRPr="009F5A41">
        <w:rPr>
          <w:rFonts w:ascii="Arial" w:hAnsi="Arial" w:cs="Arial"/>
          <w:spacing w:val="-6"/>
        </w:rPr>
        <w:t>las</w:t>
      </w:r>
      <w:r w:rsidRPr="009F5A41">
        <w:rPr>
          <w:rFonts w:ascii="Arial" w:hAnsi="Arial" w:cs="Arial"/>
          <w:spacing w:val="-13"/>
        </w:rPr>
        <w:t xml:space="preserve"> </w:t>
      </w:r>
      <w:r w:rsidRPr="009F5A41">
        <w:rPr>
          <w:rFonts w:ascii="Arial" w:hAnsi="Arial" w:cs="Arial"/>
          <w:spacing w:val="-6"/>
        </w:rPr>
        <w:t>áreas</w:t>
      </w:r>
      <w:r w:rsidRPr="009F5A41">
        <w:rPr>
          <w:rFonts w:ascii="Arial" w:hAnsi="Arial" w:cs="Arial"/>
          <w:spacing w:val="-13"/>
        </w:rPr>
        <w:t xml:space="preserve"> </w:t>
      </w:r>
      <w:r w:rsidRPr="009F5A41">
        <w:rPr>
          <w:rFonts w:ascii="Arial" w:hAnsi="Arial" w:cs="Arial"/>
          <w:spacing w:val="-6"/>
        </w:rPr>
        <w:t>de</w:t>
      </w:r>
      <w:r w:rsidRPr="009F5A41">
        <w:rPr>
          <w:rFonts w:ascii="Arial" w:hAnsi="Arial" w:cs="Arial"/>
          <w:spacing w:val="-14"/>
        </w:rPr>
        <w:t xml:space="preserve"> </w:t>
      </w:r>
      <w:r w:rsidRPr="009F5A41">
        <w:rPr>
          <w:rFonts w:ascii="Arial" w:hAnsi="Arial" w:cs="Arial"/>
          <w:spacing w:val="-6"/>
        </w:rPr>
        <w:t>nivel</w:t>
      </w:r>
      <w:r w:rsidRPr="009F5A41">
        <w:rPr>
          <w:rFonts w:ascii="Arial" w:hAnsi="Arial" w:cs="Arial"/>
          <w:spacing w:val="-13"/>
        </w:rPr>
        <w:t xml:space="preserve"> </w:t>
      </w:r>
      <w:r w:rsidRPr="009F5A41">
        <w:rPr>
          <w:rFonts w:ascii="Arial" w:hAnsi="Arial" w:cs="Arial"/>
          <w:spacing w:val="-6"/>
        </w:rPr>
        <w:t>central,</w:t>
      </w:r>
      <w:r w:rsidRPr="009F5A41">
        <w:rPr>
          <w:rFonts w:ascii="Arial" w:hAnsi="Arial" w:cs="Arial"/>
          <w:spacing w:val="-14"/>
        </w:rPr>
        <w:t xml:space="preserve"> </w:t>
      </w:r>
      <w:r w:rsidRPr="009F5A41">
        <w:rPr>
          <w:rFonts w:ascii="Arial" w:hAnsi="Arial" w:cs="Arial"/>
          <w:spacing w:val="-6"/>
        </w:rPr>
        <w:t>cuentas</w:t>
      </w:r>
      <w:r w:rsidRPr="009F5A41">
        <w:rPr>
          <w:rFonts w:ascii="Arial" w:hAnsi="Arial" w:cs="Arial"/>
          <w:spacing w:val="-13"/>
        </w:rPr>
        <w:t xml:space="preserve"> </w:t>
      </w:r>
      <w:r w:rsidRPr="009F5A41">
        <w:rPr>
          <w:rFonts w:ascii="Arial" w:hAnsi="Arial" w:cs="Arial"/>
          <w:spacing w:val="-6"/>
        </w:rPr>
        <w:t>por</w:t>
      </w:r>
      <w:r w:rsidRPr="009F5A41">
        <w:rPr>
          <w:rFonts w:ascii="Arial" w:hAnsi="Arial" w:cs="Arial"/>
          <w:spacing w:val="-13"/>
        </w:rPr>
        <w:t xml:space="preserve"> </w:t>
      </w:r>
      <w:r w:rsidRPr="009F5A41">
        <w:rPr>
          <w:rFonts w:ascii="Arial" w:hAnsi="Arial" w:cs="Arial"/>
          <w:spacing w:val="-6"/>
        </w:rPr>
        <w:t>cobrar</w:t>
      </w:r>
      <w:r w:rsidRPr="009F5A41">
        <w:rPr>
          <w:rFonts w:ascii="Arial" w:hAnsi="Arial" w:cs="Arial"/>
          <w:spacing w:val="-14"/>
        </w:rPr>
        <w:t xml:space="preserve"> </w:t>
      </w:r>
      <w:r w:rsidRPr="009F5A41">
        <w:rPr>
          <w:rFonts w:ascii="Arial" w:hAnsi="Arial" w:cs="Arial"/>
          <w:spacing w:val="-6"/>
        </w:rPr>
        <w:t>de</w:t>
      </w:r>
      <w:r w:rsidRPr="009F5A41">
        <w:rPr>
          <w:rFonts w:ascii="Arial" w:hAnsi="Arial" w:cs="Arial"/>
          <w:spacing w:val="-13"/>
        </w:rPr>
        <w:t xml:space="preserve"> </w:t>
      </w:r>
      <w:r w:rsidRPr="009F5A41">
        <w:rPr>
          <w:rFonts w:ascii="Arial" w:hAnsi="Arial" w:cs="Arial"/>
          <w:spacing w:val="-6"/>
        </w:rPr>
        <w:t>terceros</w:t>
      </w:r>
      <w:r w:rsidRPr="009F5A41">
        <w:rPr>
          <w:rFonts w:ascii="Arial" w:hAnsi="Arial" w:cs="Arial"/>
          <w:spacing w:val="-13"/>
        </w:rPr>
        <w:t xml:space="preserve"> </w:t>
      </w:r>
      <w:r w:rsidRPr="009F5A41">
        <w:rPr>
          <w:rFonts w:ascii="Arial" w:hAnsi="Arial" w:cs="Arial"/>
          <w:spacing w:val="-6"/>
        </w:rPr>
        <w:t>con</w:t>
      </w:r>
      <w:r w:rsidRPr="009F5A41">
        <w:rPr>
          <w:rFonts w:ascii="Arial" w:hAnsi="Arial" w:cs="Arial"/>
          <w:spacing w:val="-14"/>
        </w:rPr>
        <w:t xml:space="preserve"> </w:t>
      </w:r>
      <w:r w:rsidRPr="009F5A41">
        <w:rPr>
          <w:rFonts w:ascii="Arial" w:hAnsi="Arial" w:cs="Arial"/>
          <w:spacing w:val="-6"/>
        </w:rPr>
        <w:t xml:space="preserve">saldos </w:t>
      </w:r>
      <w:r w:rsidRPr="009F5A41">
        <w:rPr>
          <w:rFonts w:ascii="Arial" w:hAnsi="Arial" w:cs="Arial"/>
        </w:rPr>
        <w:t>contrarios,</w:t>
      </w:r>
      <w:r w:rsidRPr="009F5A41">
        <w:rPr>
          <w:rFonts w:ascii="Arial" w:hAnsi="Arial" w:cs="Arial"/>
          <w:spacing w:val="9"/>
        </w:rPr>
        <w:t xml:space="preserve"> </w:t>
      </w:r>
      <w:r w:rsidRPr="009F5A41">
        <w:rPr>
          <w:rFonts w:ascii="Arial" w:hAnsi="Arial" w:cs="Arial"/>
        </w:rPr>
        <w:t>registro</w:t>
      </w:r>
      <w:r w:rsidRPr="009F5A41">
        <w:rPr>
          <w:rFonts w:ascii="Arial" w:hAnsi="Arial" w:cs="Arial"/>
          <w:spacing w:val="10"/>
        </w:rPr>
        <w:t xml:space="preserve"> </w:t>
      </w:r>
      <w:r w:rsidRPr="009F5A41">
        <w:rPr>
          <w:rFonts w:ascii="Arial" w:hAnsi="Arial" w:cs="Arial"/>
        </w:rPr>
        <w:t>de</w:t>
      </w:r>
      <w:r w:rsidRPr="009F5A41">
        <w:rPr>
          <w:rFonts w:ascii="Arial" w:hAnsi="Arial" w:cs="Arial"/>
          <w:spacing w:val="9"/>
        </w:rPr>
        <w:t xml:space="preserve"> </w:t>
      </w:r>
      <w:r w:rsidRPr="009F5A41">
        <w:rPr>
          <w:rFonts w:ascii="Arial" w:hAnsi="Arial" w:cs="Arial"/>
        </w:rPr>
        <w:t>procesos</w:t>
      </w:r>
      <w:r w:rsidRPr="009F5A41">
        <w:rPr>
          <w:rFonts w:ascii="Arial" w:hAnsi="Arial" w:cs="Arial"/>
          <w:spacing w:val="10"/>
        </w:rPr>
        <w:t xml:space="preserve"> </w:t>
      </w:r>
      <w:r w:rsidRPr="009F5A41">
        <w:rPr>
          <w:rFonts w:ascii="Arial" w:hAnsi="Arial" w:cs="Arial"/>
        </w:rPr>
        <w:t>litigiosos</w:t>
      </w:r>
      <w:r w:rsidRPr="009F5A41">
        <w:rPr>
          <w:rFonts w:ascii="Arial" w:hAnsi="Arial" w:cs="Arial"/>
          <w:spacing w:val="9"/>
        </w:rPr>
        <w:t xml:space="preserve"> </w:t>
      </w:r>
      <w:r w:rsidRPr="009F5A41">
        <w:rPr>
          <w:rFonts w:ascii="Arial" w:hAnsi="Arial" w:cs="Arial"/>
        </w:rPr>
        <w:t>que</w:t>
      </w:r>
      <w:r w:rsidRPr="009F5A41">
        <w:rPr>
          <w:rFonts w:ascii="Arial" w:hAnsi="Arial" w:cs="Arial"/>
          <w:spacing w:val="10"/>
        </w:rPr>
        <w:t xml:space="preserve"> </w:t>
      </w:r>
      <w:r w:rsidRPr="009F5A41">
        <w:rPr>
          <w:rFonts w:ascii="Arial" w:hAnsi="Arial" w:cs="Arial"/>
        </w:rPr>
        <w:t>corresponden</w:t>
      </w:r>
      <w:r w:rsidRPr="009F5A41">
        <w:rPr>
          <w:rFonts w:ascii="Arial" w:hAnsi="Arial" w:cs="Arial"/>
          <w:spacing w:val="9"/>
        </w:rPr>
        <w:t xml:space="preserve"> </w:t>
      </w:r>
      <w:r w:rsidRPr="009F5A41">
        <w:rPr>
          <w:rFonts w:ascii="Arial" w:hAnsi="Arial" w:cs="Arial"/>
        </w:rPr>
        <w:t>a</w:t>
      </w:r>
      <w:r w:rsidRPr="009F5A41">
        <w:rPr>
          <w:rFonts w:ascii="Arial" w:hAnsi="Arial" w:cs="Arial"/>
          <w:spacing w:val="10"/>
        </w:rPr>
        <w:t xml:space="preserve"> </w:t>
      </w:r>
      <w:r w:rsidRPr="009F5A41">
        <w:rPr>
          <w:rFonts w:ascii="Arial" w:hAnsi="Arial" w:cs="Arial"/>
        </w:rPr>
        <w:t>la</w:t>
      </w:r>
      <w:r w:rsidRPr="009F5A41">
        <w:rPr>
          <w:rFonts w:ascii="Arial" w:hAnsi="Arial" w:cs="Arial"/>
          <w:spacing w:val="10"/>
        </w:rPr>
        <w:t xml:space="preserve"> </w:t>
      </w:r>
      <w:r w:rsidRPr="009F5A41">
        <w:rPr>
          <w:rFonts w:ascii="Arial" w:hAnsi="Arial" w:cs="Arial"/>
          <w:spacing w:val="-5"/>
        </w:rPr>
        <w:t>SAE</w:t>
      </w:r>
      <w:r>
        <w:rPr>
          <w:rFonts w:ascii="Arial" w:hAnsi="Arial" w:cs="Arial"/>
          <w:spacing w:val="-5"/>
        </w:rPr>
        <w:t xml:space="preserve"> </w:t>
      </w:r>
      <w:r w:rsidRPr="009F5A41">
        <w:rPr>
          <w:rFonts w:ascii="Arial" w:hAnsi="Arial" w:cs="Arial"/>
          <w:spacing w:val="-6"/>
        </w:rPr>
        <w:t>S.A.S.</w:t>
      </w:r>
      <w:r w:rsidRPr="009F5A41">
        <w:rPr>
          <w:rFonts w:ascii="Arial" w:hAnsi="Arial" w:cs="Arial"/>
          <w:spacing w:val="-8"/>
        </w:rPr>
        <w:t xml:space="preserve"> </w:t>
      </w:r>
      <w:r w:rsidRPr="009F5A41">
        <w:rPr>
          <w:rFonts w:ascii="Arial" w:hAnsi="Arial" w:cs="Arial"/>
          <w:spacing w:val="-6"/>
        </w:rPr>
        <w:t>y bienes abandonados sin</w:t>
      </w:r>
      <w:r w:rsidRPr="009F5A41">
        <w:rPr>
          <w:rFonts w:ascii="Arial" w:hAnsi="Arial" w:cs="Arial"/>
          <w:spacing w:val="-5"/>
        </w:rPr>
        <w:t xml:space="preserve"> </w:t>
      </w:r>
      <w:r w:rsidRPr="009F5A41">
        <w:rPr>
          <w:rFonts w:ascii="Arial" w:hAnsi="Arial" w:cs="Arial"/>
          <w:spacing w:val="-6"/>
        </w:rPr>
        <w:t>seguimiento ni control.</w:t>
      </w:r>
    </w:p>
    <w:p w:rsidR="00DD24A3" w:rsidRPr="004F6386" w:rsidRDefault="00DD24A3" w:rsidP="00DD24A3">
      <w:pPr>
        <w:pStyle w:val="Textoindependiente"/>
        <w:spacing w:before="1"/>
        <w:ind w:left="-284" w:right="-518"/>
        <w:rPr>
          <w:rFonts w:ascii="Arial" w:hAnsi="Arial" w:cs="Arial"/>
          <w:b/>
          <w:sz w:val="32"/>
        </w:rPr>
      </w:pPr>
    </w:p>
    <w:p w:rsidR="00C11C14" w:rsidRDefault="00C11C14" w:rsidP="00DD24A3">
      <w:pPr>
        <w:pStyle w:val="Ttulo1"/>
        <w:spacing w:line="276" w:lineRule="auto"/>
        <w:ind w:left="-284" w:right="-518"/>
      </w:pPr>
    </w:p>
    <w:p w:rsidR="00DD24A3" w:rsidRDefault="00DD24A3" w:rsidP="00DD24A3">
      <w:pPr>
        <w:pStyle w:val="Ttulo1"/>
        <w:spacing w:line="276" w:lineRule="auto"/>
        <w:ind w:left="-284" w:right="-518"/>
      </w:pPr>
      <w:r>
        <w:t>3</w:t>
      </w:r>
      <w:r w:rsidRPr="004F6386">
        <w:t>.- OBSERVACIONES FORMULADAS POR LA COMISIÓN LEGAL DE</w:t>
      </w:r>
      <w:r w:rsidRPr="004F6386">
        <w:rPr>
          <w:spacing w:val="1"/>
        </w:rPr>
        <w:t xml:space="preserve"> </w:t>
      </w:r>
      <w:r w:rsidRPr="004F6386">
        <w:t xml:space="preserve">CUENTAS A LA INFORMACIÓN PRESENTADA POR EL </w:t>
      </w:r>
      <w:r>
        <w:t>FRISCO</w:t>
      </w:r>
      <w:r w:rsidRPr="00E07624">
        <w:rPr>
          <w:color w:val="FF0000"/>
          <w:spacing w:val="1"/>
        </w:rPr>
        <w:t xml:space="preserve"> </w:t>
      </w:r>
      <w:r w:rsidRPr="004F6386">
        <w:t>EN</w:t>
      </w:r>
      <w:r w:rsidRPr="004F6386">
        <w:rPr>
          <w:spacing w:val="1"/>
        </w:rPr>
        <w:t xml:space="preserve"> </w:t>
      </w:r>
      <w:r w:rsidRPr="004F6386">
        <w:t>MATERIA</w:t>
      </w:r>
      <w:r w:rsidRPr="004F6386">
        <w:rPr>
          <w:spacing w:val="1"/>
        </w:rPr>
        <w:t xml:space="preserve"> </w:t>
      </w:r>
      <w:r w:rsidRPr="004F6386">
        <w:t>CONTABLE,</w:t>
      </w:r>
      <w:r w:rsidRPr="004F6386">
        <w:rPr>
          <w:spacing w:val="1"/>
        </w:rPr>
        <w:t xml:space="preserve"> </w:t>
      </w:r>
      <w:r w:rsidRPr="004F6386">
        <w:t>CONTROL</w:t>
      </w:r>
      <w:r w:rsidRPr="004F6386">
        <w:rPr>
          <w:spacing w:val="1"/>
        </w:rPr>
        <w:t xml:space="preserve"> </w:t>
      </w:r>
      <w:r w:rsidRPr="004F6386">
        <w:t>INTERNO</w:t>
      </w:r>
      <w:r w:rsidRPr="004F6386">
        <w:rPr>
          <w:spacing w:val="1"/>
        </w:rPr>
        <w:t xml:space="preserve"> </w:t>
      </w:r>
      <w:r w:rsidRPr="004F6386">
        <w:t>CONTABLE</w:t>
      </w:r>
      <w:r w:rsidRPr="004F6386">
        <w:rPr>
          <w:spacing w:val="1"/>
        </w:rPr>
        <w:t xml:space="preserve"> </w:t>
      </w:r>
      <w:r w:rsidRPr="004F6386">
        <w:t>Y</w:t>
      </w:r>
      <w:r w:rsidRPr="004F6386">
        <w:rPr>
          <w:spacing w:val="1"/>
        </w:rPr>
        <w:t xml:space="preserve"> </w:t>
      </w:r>
      <w:r w:rsidRPr="004F6386">
        <w:t>CUMPLIMIENTO</w:t>
      </w:r>
      <w:r w:rsidRPr="004F6386">
        <w:rPr>
          <w:spacing w:val="-4"/>
        </w:rPr>
        <w:t xml:space="preserve"> </w:t>
      </w:r>
      <w:r w:rsidRPr="004F6386">
        <w:t>DEL</w:t>
      </w:r>
      <w:r w:rsidRPr="004F6386">
        <w:rPr>
          <w:spacing w:val="-4"/>
        </w:rPr>
        <w:t xml:space="preserve"> </w:t>
      </w:r>
      <w:r w:rsidRPr="004F6386">
        <w:t>PLAN</w:t>
      </w:r>
      <w:r w:rsidRPr="004F6386">
        <w:rPr>
          <w:spacing w:val="-3"/>
        </w:rPr>
        <w:t xml:space="preserve"> </w:t>
      </w:r>
      <w:r w:rsidRPr="004F6386">
        <w:t>DE</w:t>
      </w:r>
      <w:r w:rsidRPr="004F6386">
        <w:rPr>
          <w:spacing w:val="-4"/>
        </w:rPr>
        <w:t xml:space="preserve"> </w:t>
      </w:r>
      <w:r w:rsidRPr="004F6386">
        <w:t>MEJORAMIENTO</w:t>
      </w:r>
      <w:r w:rsidRPr="004F6386">
        <w:rPr>
          <w:spacing w:val="-3"/>
        </w:rPr>
        <w:t xml:space="preserve"> </w:t>
      </w:r>
      <w:r w:rsidRPr="004F6386">
        <w:t>PARA</w:t>
      </w:r>
      <w:r w:rsidRPr="004F6386">
        <w:rPr>
          <w:spacing w:val="-7"/>
        </w:rPr>
        <w:t xml:space="preserve"> </w:t>
      </w:r>
      <w:r w:rsidRPr="004F6386">
        <w:t>LA</w:t>
      </w:r>
      <w:r w:rsidRPr="004F6386">
        <w:rPr>
          <w:spacing w:val="-8"/>
        </w:rPr>
        <w:t xml:space="preserve"> </w:t>
      </w:r>
      <w:r w:rsidRPr="004F6386">
        <w:t>VIGENCIA</w:t>
      </w:r>
      <w:r w:rsidRPr="004F6386">
        <w:rPr>
          <w:spacing w:val="-75"/>
        </w:rPr>
        <w:t xml:space="preserve"> </w:t>
      </w:r>
      <w:r w:rsidRPr="004F6386">
        <w:t>FISCAL</w:t>
      </w:r>
      <w:r w:rsidRPr="004F6386">
        <w:rPr>
          <w:spacing w:val="-1"/>
        </w:rPr>
        <w:t xml:space="preserve"> </w:t>
      </w:r>
      <w:r w:rsidRPr="004F6386">
        <w:t>202</w:t>
      </w:r>
      <w:r>
        <w:t>2</w:t>
      </w:r>
      <w:r w:rsidRPr="004F6386">
        <w:t>.</w:t>
      </w:r>
    </w:p>
    <w:p w:rsidR="00DD24A3" w:rsidRDefault="00DD24A3" w:rsidP="00DD24A3">
      <w:pPr>
        <w:pStyle w:val="Ttulo1"/>
        <w:spacing w:line="276" w:lineRule="auto"/>
        <w:ind w:left="-284" w:right="-518"/>
      </w:pPr>
    </w:p>
    <w:p w:rsidR="00C11C14" w:rsidRDefault="00C11C14" w:rsidP="00DD24A3">
      <w:pPr>
        <w:widowControl/>
        <w:autoSpaceDE/>
        <w:autoSpaceDN/>
        <w:ind w:left="-142" w:right="-518"/>
        <w:jc w:val="both"/>
        <w:rPr>
          <w:rFonts w:ascii="Arial" w:eastAsia="Times New Roman" w:hAnsi="Arial" w:cs="Arial"/>
          <w:b/>
          <w:sz w:val="28"/>
          <w:szCs w:val="28"/>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8"/>
          <w:szCs w:val="28"/>
          <w:lang w:eastAsia="es-ES"/>
        </w:rPr>
        <w:t>157 A.- FONDO PARA LA REHABILITACIÓN, INVERSIÓN SOCIAL Y LUCHA CONTRA EL CRIMEN ORGANIZADO - FRISCO - S.A.E.</w:t>
      </w:r>
    </w:p>
    <w:p w:rsidR="00DD24A3" w:rsidRPr="006F2305" w:rsidRDefault="00DD24A3" w:rsidP="00DD24A3">
      <w:pPr>
        <w:widowControl/>
        <w:autoSpaceDE/>
        <w:autoSpaceDN/>
        <w:ind w:left="-142" w:right="-93"/>
        <w:jc w:val="both"/>
        <w:rPr>
          <w:rFonts w:ascii="Arial" w:eastAsia="Times New Roman" w:hAnsi="Arial" w:cs="Arial"/>
          <w:sz w:val="24"/>
          <w:szCs w:val="24"/>
          <w:lang w:eastAsia="es-ES"/>
        </w:rPr>
      </w:pPr>
    </w:p>
    <w:p w:rsidR="00DD24A3" w:rsidRPr="006F2305" w:rsidRDefault="00DD24A3" w:rsidP="00DD24A3">
      <w:pPr>
        <w:widowControl/>
        <w:autoSpaceDE/>
        <w:autoSpaceDN/>
        <w:ind w:left="-142" w:right="-93"/>
        <w:jc w:val="both"/>
        <w:rPr>
          <w:rFonts w:ascii="Arial" w:eastAsia="Times New Roman" w:hAnsi="Arial" w:cs="Arial"/>
          <w:b/>
          <w:sz w:val="28"/>
          <w:szCs w:val="28"/>
          <w:lang w:eastAsia="es-ES"/>
        </w:rPr>
      </w:pPr>
      <w:r w:rsidRPr="006F2305">
        <w:rPr>
          <w:rFonts w:ascii="Arial" w:eastAsia="Times New Roman" w:hAnsi="Arial" w:cs="Arial"/>
          <w:b/>
          <w:sz w:val="28"/>
          <w:szCs w:val="28"/>
          <w:lang w:eastAsia="es-ES"/>
        </w:rPr>
        <w:t>A.- DE ORDEN CONTABLE.</w:t>
      </w:r>
    </w:p>
    <w:p w:rsidR="00DD24A3" w:rsidRPr="006F2305" w:rsidRDefault="00DD24A3" w:rsidP="00DD24A3">
      <w:pPr>
        <w:widowControl/>
        <w:autoSpaceDE/>
        <w:autoSpaceDN/>
        <w:ind w:left="-142" w:right="-93"/>
        <w:jc w:val="both"/>
        <w:rPr>
          <w:rFonts w:ascii="Arial" w:eastAsia="Times New Roman" w:hAnsi="Arial" w:cs="Arial"/>
          <w:b/>
          <w:sz w:val="28"/>
          <w:szCs w:val="28"/>
          <w:lang w:eastAsia="es-ES"/>
        </w:rPr>
      </w:pP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r w:rsidRPr="006F2305">
        <w:rPr>
          <w:rFonts w:ascii="Arial" w:eastAsia="Times New Roman" w:hAnsi="Arial" w:cs="Arial"/>
          <w:b/>
          <w:sz w:val="24"/>
          <w:szCs w:val="24"/>
          <w:lang w:eastAsia="es-ES"/>
        </w:rPr>
        <w:t xml:space="preserve">-EL SUSCRITO REPRESENTANTE LEGAL, VICEPRESIDENTE ADMINISTRATIVO Y FINANCIEROS Y CONTADOR DE LA SOCIEDAD DE ACTIVOS ESPECIALES S.A.S, EN </w:t>
      </w:r>
      <w:r w:rsidRPr="006F2305">
        <w:rPr>
          <w:rFonts w:ascii="Arial" w:eastAsia="Times New Roman" w:hAnsi="Arial" w:cs="Arial"/>
          <w:b/>
          <w:sz w:val="24"/>
          <w:szCs w:val="24"/>
          <w:lang w:eastAsia="es-ES"/>
        </w:rPr>
        <w:lastRenderedPageBreak/>
        <w:t xml:space="preserve">CALIDAD DE ADMINISTRADOR DEL FONDO PARA LA REHABILITACION, INVERSION SOCIAL Y LUCHA CONTRA EL CRIMEN ORGANIZADO “FRISCO” </w:t>
      </w: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b/>
          <w:sz w:val="24"/>
          <w:szCs w:val="24"/>
          <w:lang w:eastAsia="es-ES"/>
        </w:rPr>
      </w:pPr>
      <w:r w:rsidRPr="006F2305">
        <w:rPr>
          <w:rFonts w:ascii="Arial" w:eastAsia="Times New Roman" w:hAnsi="Arial" w:cs="Arial"/>
          <w:b/>
          <w:sz w:val="24"/>
          <w:szCs w:val="24"/>
          <w:lang w:eastAsia="es-ES"/>
        </w:rPr>
        <w:t>CERTIFICAN</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Que desde el 20 de julio de 2014, la Sociedad </w:t>
      </w:r>
      <w:r>
        <w:rPr>
          <w:rFonts w:ascii="Arial" w:eastAsia="Times New Roman" w:hAnsi="Arial" w:cs="Arial"/>
          <w:sz w:val="24"/>
          <w:szCs w:val="24"/>
          <w:lang w:eastAsia="es-ES"/>
        </w:rPr>
        <w:t>D</w:t>
      </w:r>
      <w:r w:rsidRPr="006F2305">
        <w:rPr>
          <w:rFonts w:ascii="Arial" w:eastAsia="Times New Roman" w:hAnsi="Arial" w:cs="Arial"/>
          <w:sz w:val="24"/>
          <w:szCs w:val="24"/>
          <w:lang w:eastAsia="es-ES"/>
        </w:rPr>
        <w:t>e Ac</w:t>
      </w:r>
      <w:r>
        <w:rPr>
          <w:rFonts w:ascii="Arial" w:eastAsia="Times New Roman" w:hAnsi="Arial" w:cs="Arial"/>
          <w:sz w:val="24"/>
          <w:szCs w:val="24"/>
          <w:lang w:eastAsia="es-ES"/>
        </w:rPr>
        <w:t>tivos Especiales S.A.S., es la e</w:t>
      </w:r>
      <w:r w:rsidRPr="006F2305">
        <w:rPr>
          <w:rFonts w:ascii="Arial" w:eastAsia="Times New Roman" w:hAnsi="Arial" w:cs="Arial"/>
          <w:sz w:val="24"/>
          <w:szCs w:val="24"/>
          <w:lang w:eastAsia="es-ES"/>
        </w:rPr>
        <w:t xml:space="preserve">ntidad encargada de la administración del Fondo Para La Rehabilitación, Inversión Social y Lucha Contra El Crimen Organizado “FRISCO”, de conformidad con lo dispuesto en el artículo 90 de la Ley 1708 del 20 de enero de 2014.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Pr>
          <w:rFonts w:ascii="Arial" w:eastAsia="Times New Roman" w:hAnsi="Arial" w:cs="Arial"/>
          <w:sz w:val="24"/>
          <w:szCs w:val="24"/>
          <w:lang w:eastAsia="es-ES"/>
        </w:rPr>
        <w:t>Que mediante C</w:t>
      </w:r>
      <w:r w:rsidRPr="006F2305">
        <w:rPr>
          <w:rFonts w:ascii="Arial" w:eastAsia="Times New Roman" w:hAnsi="Arial" w:cs="Arial"/>
          <w:sz w:val="24"/>
          <w:szCs w:val="24"/>
          <w:lang w:eastAsia="es-ES"/>
        </w:rPr>
        <w:t xml:space="preserve">oncepto 2014000028041 del 24 de septiembre de 2014, la Contaduría General de la Nación manifestó que la Dirección Nacional De Estupefacientes, hoy entidad liquidada, no debía proceder a efectuar el cierre contable de las operaciones del Fondo Para La Rehabilitación, Inversión Social y Lucha Contra El Crimen Organizado “FRISCO”, en consecuencia, en el proceso de entrega por parte de la Dirección Nacional De Estupefacientes, a la Sociedad de Activos Especiales S.A.S, conllevó la entrega de los estados financieros del “FRISCO”, en donde se produjo un cambio de la entidad encargada de la administración, y por consiguiente del Representante Legal y Contador, debiendo la administración que entrega certificar los estados contables, es solamente de esta forma como se delimitan las responsabilidades entre la administración que entrega y la administración que recibe.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Que la entrega de la contabilidad y de los estados financieros del Fondo Para La Rehabilitación, Inversión Social y Lucha Contra El Crimen Organizado “FRISCO” a la Sociedad de Activos Especiales S.A.S, se realizó mediante acta suscrita entre las dos entidades, con las cifras al 30 de septiembre de 2014.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Que en el acta de entrega por parte de la hoy liquidada Dirección Nacional De Estupefacientes a la Sociedad de Activos Especiales S.A.S, de la información financiera del Fondo “FRISCO”, se dejaron registradas las siguientes salvedades: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numPr>
          <w:ilvl w:val="0"/>
          <w:numId w:val="4"/>
        </w:numPr>
        <w:autoSpaceDE/>
        <w:autoSpaceDN/>
        <w:spacing w:before="1"/>
        <w:ind w:right="-518"/>
        <w:jc w:val="both"/>
        <w:rPr>
          <w:rFonts w:ascii="Arial" w:eastAsia="Arial" w:hAnsi="Arial" w:cs="Arial"/>
          <w:sz w:val="24"/>
          <w:szCs w:val="24"/>
        </w:rPr>
      </w:pPr>
      <w:r w:rsidRPr="006F2305">
        <w:rPr>
          <w:rFonts w:ascii="Arial" w:eastAsia="Arial" w:hAnsi="Arial" w:cs="Arial"/>
          <w:sz w:val="24"/>
          <w:szCs w:val="24"/>
        </w:rPr>
        <w:t xml:space="preserve">Los bienes administrados y reflejados en la cuenta 15-INVENTARIO DE MERCANCÍAS, así como en las cuentas de orden (Bienes incautados), se realizó tomando como fuente de información la registrada en la base de datos Matrix, aplicativo donde se encuentra el registro de los bienes administrados por el “FRISCO”, la recepción de la información contenida en la mencionada base no contempló la verificación física. </w:t>
      </w:r>
    </w:p>
    <w:p w:rsidR="00DD24A3" w:rsidRPr="006F2305" w:rsidRDefault="00DD24A3" w:rsidP="00DD24A3">
      <w:pPr>
        <w:spacing w:before="1"/>
        <w:ind w:left="218" w:right="-518"/>
        <w:jc w:val="both"/>
        <w:rPr>
          <w:rFonts w:ascii="Arial" w:eastAsia="Arial" w:hAnsi="Arial" w:cs="Arial"/>
          <w:sz w:val="24"/>
          <w:szCs w:val="24"/>
        </w:rPr>
      </w:pPr>
    </w:p>
    <w:p w:rsidR="00DD24A3" w:rsidRPr="006F2305" w:rsidRDefault="00DD24A3" w:rsidP="00DD24A3">
      <w:pPr>
        <w:spacing w:before="1"/>
        <w:ind w:left="218" w:right="-518"/>
        <w:jc w:val="both"/>
        <w:rPr>
          <w:rFonts w:ascii="Arial" w:eastAsia="Arial" w:hAnsi="Arial" w:cs="Arial"/>
          <w:sz w:val="24"/>
          <w:szCs w:val="24"/>
        </w:rPr>
      </w:pPr>
      <w:r w:rsidRPr="006F2305">
        <w:rPr>
          <w:rFonts w:ascii="Arial" w:eastAsia="Arial" w:hAnsi="Arial" w:cs="Arial"/>
          <w:sz w:val="24"/>
          <w:szCs w:val="24"/>
        </w:rPr>
        <w:t xml:space="preserve">En el acta de fecha 22 de septiembre de 2014, donde la hoy liquidada Dirección Nacional de Estupefacientes (DNE), hizo entrega de la base de información del aplicativo Matrix, a la Sociedad de Activos Especiales, con el inventario de bienes administrados, en referida acta se indicó que sobre las características de congruencia y veracidad de la información de la base de datos entregada, la Sociedad de Activos Especiales se reserva la facultad de verificación y validación, actividades que se ejecutarán como parte de la gestión como administrador del FRISCO y sobre las cuales presentará reporte mensual de avance al Ministerio de Hacienda y Crédito Público y al Ministerio de </w:t>
      </w:r>
      <w:r>
        <w:rPr>
          <w:rFonts w:ascii="Arial" w:eastAsia="Arial" w:hAnsi="Arial" w:cs="Arial"/>
          <w:sz w:val="24"/>
          <w:szCs w:val="24"/>
        </w:rPr>
        <w:t>J</w:t>
      </w:r>
      <w:r w:rsidRPr="006F2305">
        <w:rPr>
          <w:rFonts w:ascii="Arial" w:eastAsia="Arial" w:hAnsi="Arial" w:cs="Arial"/>
          <w:sz w:val="24"/>
          <w:szCs w:val="24"/>
        </w:rPr>
        <w:t>usticia y del Derecho.</w:t>
      </w:r>
    </w:p>
    <w:p w:rsidR="00DD24A3" w:rsidRPr="006F2305" w:rsidRDefault="00DD24A3" w:rsidP="00DD24A3">
      <w:pPr>
        <w:spacing w:before="1"/>
        <w:ind w:left="218" w:right="-518"/>
        <w:jc w:val="both"/>
        <w:rPr>
          <w:rFonts w:ascii="Arial" w:eastAsia="Arial" w:hAnsi="Arial" w:cs="Arial"/>
          <w:sz w:val="24"/>
          <w:szCs w:val="24"/>
        </w:rPr>
      </w:pPr>
    </w:p>
    <w:p w:rsidR="00DD24A3" w:rsidRPr="006F2305" w:rsidRDefault="00DD24A3" w:rsidP="00DD24A3">
      <w:pPr>
        <w:spacing w:before="1"/>
        <w:ind w:left="218" w:right="-518" w:hanging="360"/>
        <w:jc w:val="both"/>
        <w:rPr>
          <w:rFonts w:ascii="Arial" w:eastAsia="Arial" w:hAnsi="Arial" w:cs="Arial"/>
          <w:sz w:val="24"/>
          <w:szCs w:val="24"/>
        </w:rPr>
      </w:pPr>
      <w:r w:rsidRPr="006F2305">
        <w:rPr>
          <w:rFonts w:ascii="Arial" w:eastAsia="Arial" w:hAnsi="Arial" w:cs="Arial"/>
          <w:sz w:val="24"/>
          <w:szCs w:val="24"/>
        </w:rPr>
        <w:t xml:space="preserve"> b) Los estados financieros del Fondo Para La Rehabilitación, Inversión Social y Lucha Contra El Crimen Organizado “FRISCO”, reflejan consignaciones que ingresaron a las cuentas bancarias donde no se logra identificar el tercero (Nombre, razón social, número de identificación tributaria </w:t>
      </w:r>
      <w:r w:rsidRPr="006F2305">
        <w:rPr>
          <w:rFonts w:ascii="Arial" w:eastAsia="Arial" w:hAnsi="Arial" w:cs="Arial"/>
          <w:sz w:val="24"/>
          <w:szCs w:val="24"/>
        </w:rPr>
        <w:lastRenderedPageBreak/>
        <w:t xml:space="preserve">o cédula) de quien realizó la consignación, así como tampoco se logra establecer el bien o proceso jurídico de extinción de dominio al que pertenecen, y que están registradas en la cuenta recursos a favor de terceros y recursos recibidos en administración, los registros que conforman esta cuenta, están asociados, entre otros, a consignaciones y reclasificaciones, referenciadas a números de identificación inexistentes, que en algunas ocasiones, es Ministerio de Hacienda/ Dirección Tesoro o a una entidad bancaria, o a un concepto asociado a la descripción “saldo inicial”, sin una lógica que permita establecer el beneficiario de estos recursos. </w:t>
      </w:r>
    </w:p>
    <w:p w:rsidR="00DD24A3" w:rsidRPr="006F2305" w:rsidRDefault="00DD24A3" w:rsidP="00DD24A3">
      <w:pPr>
        <w:spacing w:before="1"/>
        <w:ind w:left="218" w:right="-518" w:hanging="360"/>
        <w:jc w:val="both"/>
        <w:rPr>
          <w:rFonts w:ascii="Arial" w:eastAsia="Arial" w:hAnsi="Arial" w:cs="Arial"/>
          <w:sz w:val="24"/>
          <w:szCs w:val="24"/>
        </w:rPr>
      </w:pPr>
    </w:p>
    <w:p w:rsidR="00DD24A3" w:rsidRPr="006F2305" w:rsidRDefault="00DD24A3" w:rsidP="00DD24A3">
      <w:pPr>
        <w:widowControl/>
        <w:numPr>
          <w:ilvl w:val="0"/>
          <w:numId w:val="6"/>
        </w:numPr>
        <w:autoSpaceDE/>
        <w:autoSpaceDN/>
        <w:spacing w:before="1"/>
        <w:ind w:right="-518"/>
        <w:jc w:val="both"/>
        <w:rPr>
          <w:rFonts w:ascii="Arial" w:eastAsia="Arial" w:hAnsi="Arial" w:cs="Arial"/>
          <w:sz w:val="24"/>
          <w:szCs w:val="24"/>
        </w:rPr>
      </w:pPr>
      <w:r w:rsidRPr="006F2305">
        <w:rPr>
          <w:rFonts w:ascii="Arial" w:eastAsia="Arial" w:hAnsi="Arial" w:cs="Arial"/>
          <w:sz w:val="24"/>
          <w:szCs w:val="24"/>
        </w:rPr>
        <w:t xml:space="preserve">La cartera por concepto de canon de arrendamiento de los bienes no estaba registrada en los estados financieros del Fondo Para La Rehabilitación, Inversión Social y Lucha Contra El Crimen Organizado “FRISCO”. </w:t>
      </w:r>
    </w:p>
    <w:p w:rsidR="00DD24A3" w:rsidRPr="006F2305" w:rsidRDefault="00DD24A3" w:rsidP="00DD24A3">
      <w:pPr>
        <w:spacing w:before="1"/>
        <w:ind w:left="218" w:right="-518"/>
        <w:jc w:val="both"/>
        <w:rPr>
          <w:rFonts w:ascii="Arial" w:eastAsia="Arial" w:hAnsi="Arial" w:cs="Arial"/>
          <w:sz w:val="24"/>
          <w:szCs w:val="24"/>
        </w:rPr>
      </w:pPr>
    </w:p>
    <w:p w:rsidR="00DD24A3" w:rsidRPr="006F2305"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 xml:space="preserve">Que a partir de la designación de las Sociedad de Activos Especiales S.A.S, como administrador del Fondo Para La Rehabilitación, Inversión Social y Lucha Contra el Crimen Organizado “FRISCO” se han adelantado gestiones para normalizar las situaciones halladas, para lo cual se definió un modelo de administración, y dentro de esta planificación se establecieron, proyectos y planes de choque que continúan en ejecución y buscan terminar con el rezago de la administración de los activos. </w:t>
      </w:r>
    </w:p>
    <w:p w:rsidR="00DD24A3" w:rsidRPr="006F2305" w:rsidRDefault="00DD24A3" w:rsidP="00DD24A3">
      <w:pPr>
        <w:spacing w:before="1"/>
        <w:ind w:left="-142" w:right="-518"/>
        <w:jc w:val="both"/>
        <w:rPr>
          <w:rFonts w:ascii="Arial" w:eastAsia="Arial" w:hAnsi="Arial" w:cs="Arial"/>
          <w:sz w:val="24"/>
          <w:szCs w:val="24"/>
        </w:rPr>
      </w:pPr>
    </w:p>
    <w:p w:rsidR="00DD24A3" w:rsidRPr="006F2305"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 xml:space="preserve">En el año 2018, se realizó la migración de la información del aplicativo Matrix 1.0 a Matrix 2.0 (Hoy SIGMA SAE), proceso documentado en actas, por parte del GIT de Aseguramiento y Control de la Información, en donde manifiestan que la migración a Matrix 2.0 (Hoy SIGMA SAE), corresponde a aquellos bienes activos que a la fecha están siendo administrados por SAE S.A.S y que están certificados por las áreas misionales de la entidad, los datos excluidos de migración, se almacenaron en un repositorio que facilitará su consulta, la Oficina de Control Interno acompañó este proceso. </w:t>
      </w:r>
    </w:p>
    <w:p w:rsidR="00DD24A3" w:rsidRPr="006F2305" w:rsidRDefault="00DD24A3" w:rsidP="00DD24A3">
      <w:pPr>
        <w:spacing w:before="1"/>
        <w:ind w:left="-142" w:right="-518"/>
        <w:jc w:val="both"/>
        <w:rPr>
          <w:rFonts w:ascii="Arial" w:eastAsia="Arial" w:hAnsi="Arial" w:cs="Arial"/>
          <w:sz w:val="24"/>
          <w:szCs w:val="24"/>
        </w:rPr>
      </w:pPr>
    </w:p>
    <w:p w:rsidR="00DD24A3" w:rsidRPr="006F2305"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 xml:space="preserve">Para el reconocimiento de los bienes excluidos anunciados en las actas, en los casos que aplique, se aplicó la norma emitida por la Contaduría General de la Nación en el Marco Normativo Para Entidades de Gobierno, que hace referencia a la corrección de errores de periodos anteriores. </w:t>
      </w:r>
    </w:p>
    <w:p w:rsidR="00DD24A3" w:rsidRPr="006F2305" w:rsidRDefault="00DD24A3" w:rsidP="00DD24A3">
      <w:pPr>
        <w:spacing w:before="1"/>
        <w:ind w:left="-142" w:right="-518"/>
        <w:jc w:val="both"/>
        <w:rPr>
          <w:rFonts w:ascii="Arial" w:eastAsia="Arial" w:hAnsi="Arial" w:cs="Arial"/>
          <w:sz w:val="24"/>
          <w:szCs w:val="24"/>
        </w:rPr>
      </w:pPr>
    </w:p>
    <w:p w:rsidR="00DD24A3"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 xml:space="preserve">Que la Sociedad de Activos Especiales S.A.S, como administradora del Fondo “FRISCO” definió al aplicativo SIGMA SAE (Antes Matrix) como el Sistema Informático donde se administra la información de los contratos de arrendamiento de los inmuebles, así como la cartera por concepto de canon de arrendamiento, y a partir del año 2018, se dio inicio al proceso de conciliar la información registrada en el aplicativo SIGMA SAE (Antes Matrix) con la información registrada en el aplicativo financiero Concisa FRISCO (Hoy SEVEN), tomando como fecha de corte el saldo al 31 de diciembre de 2017, representados en 2.386 contratos, agrupados en 2.177 terceros, proceso que finalizó el 31 de diciembre de 2019, y los resultados están documentados en la Nota 7.21.2.1, esta actividad de conciliación se debió continuar con un alcance al 31 de diciembre 2019. Finalmente, la Gerencia Comercial adelantó un nuevo proceso de conciliación que inició en el año 2021, el resultado de esta conciliación es reconocido en los estados financieros de FRISCO, en la medida en que se adelanta el proceso de conciliación, el avance se describe en el numeral 7.21.2.1. </w:t>
      </w:r>
    </w:p>
    <w:p w:rsidR="00DD24A3" w:rsidRPr="006F2305" w:rsidRDefault="00DD24A3" w:rsidP="00DD24A3">
      <w:pPr>
        <w:spacing w:before="1"/>
        <w:ind w:left="-142" w:right="-518"/>
        <w:jc w:val="both"/>
        <w:rPr>
          <w:rFonts w:ascii="Arial" w:eastAsia="Arial" w:hAnsi="Arial" w:cs="Arial"/>
          <w:sz w:val="24"/>
          <w:szCs w:val="24"/>
        </w:rPr>
      </w:pPr>
    </w:p>
    <w:p w:rsidR="00DD24A3" w:rsidRPr="006F2305"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 xml:space="preserve">Las situaciones que generan las partidas conciliatorias en el proceso descrito anteriormente, se clasifican en: a) Saldos iniciales: Que hace referencia a las cuentas por cobrar por concepto de canon de arrendamiento y que durante el periodo de tiempo en que fue administrada la información financiera, por la hoy liquidada Dirección Nacional De Estupefacientes, no fue reconocida en los estados financieros del Fondo FRISCO, y b) La facturación de los contratos de arrendamiento es integrada al proceso contable en el aplicativo financiero, mediante registros manuales de causación, </w:t>
      </w:r>
      <w:r w:rsidRPr="006F2305">
        <w:rPr>
          <w:rFonts w:ascii="Arial" w:eastAsia="Arial" w:hAnsi="Arial" w:cs="Arial"/>
          <w:sz w:val="24"/>
          <w:szCs w:val="24"/>
        </w:rPr>
        <w:lastRenderedPageBreak/>
        <w:t xml:space="preserve">tomando como fuente de información el reporte de facturación emitido del aplicativo SIGMA SAE (Antes Matrix). En el proceso de conciliación se evidencia que algunas operaciones efectuadas en el aplicativo SIGMA SAE (Antes Matrix) no aparecen relacionadas en los listados de facturación o los reportes que genera el aplicativo. </w:t>
      </w:r>
    </w:p>
    <w:p w:rsidR="00DD24A3" w:rsidRPr="006F2305" w:rsidRDefault="00DD24A3" w:rsidP="00DD24A3">
      <w:pPr>
        <w:spacing w:before="1"/>
        <w:ind w:left="-142" w:right="-518"/>
        <w:jc w:val="both"/>
        <w:rPr>
          <w:rFonts w:ascii="Arial" w:eastAsia="Arial" w:hAnsi="Arial" w:cs="Arial"/>
          <w:sz w:val="24"/>
          <w:szCs w:val="24"/>
        </w:rPr>
      </w:pPr>
    </w:p>
    <w:p w:rsidR="00DD24A3" w:rsidRPr="006F2305"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 xml:space="preserve">Que en el año 2018, se dio inicio al proceso de analizar las cuentas del pasivo, con el fin de depurar la información registrada en los estados financieros del Fondo Para la Rehabilitación, Inversión Social y Lucha Contra el Crimen Organizado “FRISCO”, tomando el saldo al 31 de diciembre de 2017, el alcance a la depuración del pasivo se enmarcó a los registros históricos de la cuenta recursos recibidos en administración, desagregada en 24 subcuentas con el fin de determinar su permanencia en el pasivo, o una reclasificación, los resultados están documentados en la nota 24. En junio del 2021 se inició un nuevo análisis a los saldos de las subcuentas que conforman el grupo Recursos Recibidos en Administración, siendo la cifra objeto de análisis $1.752.360.451, cifra en miles de pesos, agrupada en 36 subcuentas y en 6.277 terceros. Al 31 de diciembre de 2021, fueron analizados $748.368.324, cifra en miles de pesos, agrupados en 612 terceros que corresponde al 43% de la cifra, así las cosas, el valor de $1.003.992.127, se encuentra en proceso de análisis, valor que esta agrupado en 615 terceros y representan el 57%. </w:t>
      </w:r>
    </w:p>
    <w:p w:rsidR="00DD24A3" w:rsidRPr="006F2305" w:rsidRDefault="00DD24A3" w:rsidP="00DD24A3">
      <w:pPr>
        <w:spacing w:before="1"/>
        <w:ind w:left="-142" w:right="-518"/>
        <w:jc w:val="both"/>
        <w:rPr>
          <w:rFonts w:ascii="Arial" w:eastAsia="Arial" w:hAnsi="Arial" w:cs="Arial"/>
          <w:sz w:val="24"/>
          <w:szCs w:val="24"/>
        </w:rPr>
      </w:pPr>
    </w:p>
    <w:p w:rsidR="00DD24A3" w:rsidRPr="006F2305"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 xml:space="preserve">Que la funcionalidad de recaudo centralizado en el aplicativo SIGMA SAE (Antes Matrix) conllevó a que los saldos de cartera reportados por los Depositarios en los Informes de Gestión fueran migrados al aplicativo SIGMA SAE (Antes Matrix). La Gerencia de Inmuebles realiza la revisión a las rendiciones de cuentas presentadas por los Depositarios, en donde, entre otros conceptos, se encuentra la cuenta por cobrar por concepto de canon de arrendamiento de los inmuebles administrados. La Gerencia de Inmuebles continúa con esta revisión, en consecuencia, no ha presentado el informe donde cuantifica los saldos de cartera por concepto de canon de arrendamiento que fueron migrados de los informes de Gestión de los Depositarios a recaudo centralizado en el aplicativo SIGMA SAE (Antes Matrix). </w:t>
      </w:r>
    </w:p>
    <w:p w:rsidR="00DD24A3" w:rsidRPr="006F2305" w:rsidRDefault="00DD24A3" w:rsidP="00DD24A3">
      <w:pPr>
        <w:spacing w:before="1"/>
        <w:ind w:left="-142" w:right="-518"/>
        <w:jc w:val="both"/>
        <w:rPr>
          <w:rFonts w:ascii="Arial" w:eastAsia="Arial" w:hAnsi="Arial" w:cs="Arial"/>
          <w:sz w:val="24"/>
          <w:szCs w:val="24"/>
        </w:rPr>
      </w:pPr>
    </w:p>
    <w:p w:rsidR="00DD24A3" w:rsidRPr="006F2305" w:rsidRDefault="00DD24A3" w:rsidP="00DD24A3">
      <w:pPr>
        <w:spacing w:before="1"/>
        <w:ind w:left="-142" w:right="-518"/>
        <w:jc w:val="both"/>
        <w:rPr>
          <w:rFonts w:ascii="Arial" w:eastAsia="Arial" w:hAnsi="Arial" w:cs="Arial"/>
          <w:sz w:val="24"/>
          <w:szCs w:val="24"/>
        </w:rPr>
      </w:pPr>
      <w:r w:rsidRPr="006F2305">
        <w:rPr>
          <w:rFonts w:ascii="Arial" w:eastAsia="Arial" w:hAnsi="Arial" w:cs="Arial"/>
          <w:sz w:val="24"/>
          <w:szCs w:val="24"/>
        </w:rPr>
        <w:t>Que la información financiera, en el Estado de Situación Financiera y Estado de Resultados con corte al 31 de diciembre del 2022 fue tomada fielmente de los libros de contabilidad, ésta se elaboró conforme a la normatividad señalada en el régimen de la Contabilidad Pública.</w:t>
      </w:r>
    </w:p>
    <w:p w:rsidR="00DD24A3" w:rsidRPr="006F2305" w:rsidRDefault="00DD24A3" w:rsidP="00DD24A3">
      <w:pPr>
        <w:spacing w:before="1"/>
        <w:ind w:left="-142" w:right="-518"/>
        <w:jc w:val="both"/>
        <w:rPr>
          <w:rFonts w:ascii="Arial" w:eastAsia="Arial" w:hAnsi="Arial" w:cs="Arial"/>
          <w:sz w:val="24"/>
          <w:szCs w:val="24"/>
        </w:rPr>
      </w:pPr>
    </w:p>
    <w:p w:rsidR="00DD24A3" w:rsidRPr="006F2305" w:rsidRDefault="00DD24A3" w:rsidP="00DD24A3">
      <w:pPr>
        <w:spacing w:before="1"/>
        <w:ind w:left="-142" w:right="-518"/>
        <w:jc w:val="center"/>
        <w:rPr>
          <w:rFonts w:ascii="Arial" w:eastAsia="Calibri" w:hAnsi="Arial" w:cs="Arial"/>
          <w:b/>
          <w:sz w:val="24"/>
          <w:szCs w:val="24"/>
        </w:rPr>
      </w:pPr>
      <w:r w:rsidRPr="006F2305">
        <w:rPr>
          <w:rFonts w:ascii="Arial" w:eastAsia="Calibri" w:hAnsi="Arial" w:cs="Arial"/>
          <w:b/>
          <w:strike/>
          <w:noProof/>
          <w:sz w:val="16"/>
          <w:szCs w:val="16"/>
          <w:lang w:val="es-CO" w:eastAsia="es-CO"/>
        </w:rPr>
        <w:drawing>
          <wp:inline distT="0" distB="0" distL="0" distR="0" wp14:anchorId="2838011D" wp14:editId="078F76A7">
            <wp:extent cx="5032375" cy="1104900"/>
            <wp:effectExtent l="0" t="0" r="0" b="0"/>
            <wp:docPr id="2749" name="Imagen 2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033149" cy="1105070"/>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Calibri" w:hAnsi="Arial" w:cs="Arial"/>
          <w:b/>
          <w:sz w:val="24"/>
          <w:szCs w:val="24"/>
          <w:lang w:eastAsia="es-ES"/>
        </w:rPr>
        <w:t xml:space="preserve">-DE LAS NOTAS DE CARÁCTER GENERAL – 1.2. Declaración de Cumplimiento del Marco Normativo y Limitaciones: </w:t>
      </w:r>
      <w:r w:rsidRPr="006F2305">
        <w:rPr>
          <w:rFonts w:ascii="Arial" w:eastAsia="Calibri" w:hAnsi="Arial" w:cs="Arial"/>
          <w:sz w:val="24"/>
          <w:szCs w:val="24"/>
          <w:lang w:eastAsia="es-ES"/>
        </w:rPr>
        <w:t xml:space="preserve">(…) </w:t>
      </w:r>
      <w:r w:rsidRPr="006F2305">
        <w:rPr>
          <w:rFonts w:ascii="Arial" w:eastAsia="Times New Roman" w:hAnsi="Arial" w:cs="Arial"/>
          <w:sz w:val="24"/>
          <w:szCs w:val="24"/>
          <w:lang w:eastAsia="es-ES"/>
        </w:rPr>
        <w:t xml:space="preserve">Durante el periodo en que la hoy liquidada Dirección Nacional De Estupefacientes administró la información financiera del FRISCO, se presentaron las situaciones que se describen a continuación, que aún impactan en la presentación de los estados financieros.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r w:rsidRPr="006F2305">
        <w:rPr>
          <w:rFonts w:ascii="Arial" w:eastAsia="Times New Roman" w:hAnsi="Arial" w:cs="Arial"/>
          <w:sz w:val="24"/>
          <w:szCs w:val="24"/>
          <w:lang w:eastAsia="es-ES"/>
        </w:rPr>
        <w:t xml:space="preserve">a) Ingresaron consignaciones de dineros respecto de conceptos que no lograron identificar el tercero (Nombre, razón social, NIT. o cédula) de quien realizó la consignación, así como tampoco lograron establecer una asociación respecto de algún bien administrado, reconocidos en el estado de </w:t>
      </w:r>
      <w:r w:rsidRPr="006F2305">
        <w:rPr>
          <w:rFonts w:ascii="Arial" w:eastAsia="Times New Roman" w:hAnsi="Arial" w:cs="Arial"/>
          <w:sz w:val="24"/>
          <w:szCs w:val="24"/>
          <w:lang w:eastAsia="es-ES"/>
        </w:rPr>
        <w:lastRenderedPageBreak/>
        <w:t>situación financiera en la cuenta RECURSOS A FAVOR DE TERCEROS, Y RECURSOS RECIBIDOS EN ADMINISTRACIÓN que representan el PASIVO.</w:t>
      </w: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b) La cuenta Recursos Recibidos en Administración se encuentra en proceso de reconstrucción por parte de la SOCIEDAD DE ACTIVOS ESPECIALES S.A.S, como administradora del fondo FRISCO, debido a que los registros que conforman esta cuenta están asociados, entre otros, a consignaciones y reclasificaciones, referenciados a números de identificación inexistentes que en algunas ocasiones, es Ministerio de Hacienda/ Dirección Tesoro o a una entidad bancaria, o a un concepto asociado a la descripción “Saldo inicial”, sin una lógica que permita establecer el beneficiario de estos recursos, el avance de esta depuración se describe en la nota 24.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c) Durante el periodo de tiempo en el que la Dirección Nacional de Estupefacientes administró la información financiera del FRISCO, no reconoció la cartera generada por concepto de canon de arrendamiento en los estados financieros.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SOCIEDAD DE ACTIVOS ESPECIALES S.A.S, inició una depuración y conciliación de la cartera por concepto de canon de arrendamiento, resultado que es reconocido en los estados financieros de FRISCO, en la medida en que se adelanta el proceso de conciliación, el avance se describe en el numeral 7.21.2.1.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d) La funcionalidad de recaudo centralizado en el aplicativo SIGMA conllevó a que los saldos de cartera reportados por los Depositarios en los Informes de Gestión fueran migrados al aplicativo SIGMA 2.0, la Gerencia de Inmuebles es el área encargada de realizar la revisión a los informes de los Depositarios para establecer la trazabilidad de la información registrada como saldos iniciales de cartera en el aplicativo SIGMA 2.0. Esta depuración será reconocida en los estados financieros con el informe que presente la Gerencia de Inmuebles como resultado de mencionada revisión</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 El inventario de los bienes, así como la facturación de los contratos de arrendamientos son integrados al proceso contable en el aplicativo financiero, mediante registros manuales, tomando como fuente de información la registrada en el aplicativo SIGMA SAE (Antes Matrix) y reportada en los listados de inventario y facturación, por parte del GIT de Aseguramiento y Gerencia Comercial respectivamente, los cuales demandan una conciliación permanente, para garantizar que la misma cumpla con las características propias de la información contable pública, tema desarrollado en el numeral 7.21.2.1.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f) En virtud de los antecedentes y el origen de las participaciones patrimoniales, la información financiera de las sociedades y establecimientos de comercio debe ser reconstruida además de surtir un proceso de validación por parte de la Vicepresidencia de Sociedades, esta situación es una de las causas que ocasiona que existan diferencias entre la fecha de corte entre los estados financieros del Fondo FRISCO y los estados financieros de las Sociedades y los Establecimientos de </w:t>
      </w:r>
      <w:r>
        <w:rPr>
          <w:rFonts w:ascii="Arial" w:eastAsia="Times New Roman" w:hAnsi="Arial" w:cs="Arial"/>
          <w:sz w:val="24"/>
          <w:szCs w:val="24"/>
          <w:lang w:eastAsia="es-ES"/>
        </w:rPr>
        <w:t>C</w:t>
      </w:r>
      <w:r w:rsidRPr="006F2305">
        <w:rPr>
          <w:rFonts w:ascii="Arial" w:eastAsia="Times New Roman" w:hAnsi="Arial" w:cs="Arial"/>
          <w:sz w:val="24"/>
          <w:szCs w:val="24"/>
          <w:lang w:eastAsia="es-ES"/>
        </w:rPr>
        <w:t xml:space="preserve">omercio.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r w:rsidRPr="006F2305">
        <w:rPr>
          <w:rFonts w:ascii="Arial" w:eastAsia="Times New Roman" w:hAnsi="Arial" w:cs="Arial"/>
          <w:sz w:val="24"/>
          <w:szCs w:val="24"/>
          <w:lang w:eastAsia="es-ES"/>
        </w:rPr>
        <w:t>El reporte de SIGMA SAE (Antes Matrix 2.0), para el cierre del inventario del 31 de diciembre de 2022, relaciona Sociedades y Establecimientos de Comercio, sin información financiera.</w:t>
      </w: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Calibri" w:hAnsi="Arial" w:cs="Arial"/>
          <w:b/>
          <w:sz w:val="24"/>
          <w:szCs w:val="24"/>
          <w:lang w:eastAsia="es-ES"/>
        </w:rPr>
        <w:t xml:space="preserve">1.3.1. Sistema de Apoyo para la Gestión de la Información que hacen parte integral del Proceso Financiero y Contable: </w:t>
      </w:r>
      <w:r w:rsidRPr="006F2305">
        <w:rPr>
          <w:rFonts w:ascii="Arial" w:eastAsia="Times New Roman" w:hAnsi="Arial" w:cs="Arial"/>
          <w:sz w:val="24"/>
          <w:szCs w:val="24"/>
          <w:lang w:eastAsia="es-ES"/>
        </w:rPr>
        <w:t xml:space="preserve">La SOCIEDAD DE ACTIVOS ESPECIALES S.A.S, como administradora del FRISCO, definió al aplicativo SIGMA SAE (Antes Matrix) como el sistema informático donde se </w:t>
      </w:r>
      <w:r w:rsidRPr="006F2305">
        <w:rPr>
          <w:rFonts w:ascii="Arial" w:eastAsia="Times New Roman" w:hAnsi="Arial" w:cs="Arial"/>
          <w:sz w:val="24"/>
          <w:szCs w:val="24"/>
          <w:lang w:eastAsia="es-ES"/>
        </w:rPr>
        <w:lastRenderedPageBreak/>
        <w:t xml:space="preserve">administra la información del inventario de los bienes, así como también los contratos de arrendamiento, la facturación y la cartera por concepto de canon. </w:t>
      </w:r>
    </w:p>
    <w:p w:rsidR="00DD24A3"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tipología de los bienes: i) Depósitos en custodia, </w:t>
      </w:r>
      <w:proofErr w:type="spellStart"/>
      <w:r w:rsidRPr="006F2305">
        <w:rPr>
          <w:rFonts w:ascii="Arial" w:eastAsia="Times New Roman" w:hAnsi="Arial" w:cs="Arial"/>
          <w:sz w:val="24"/>
          <w:szCs w:val="24"/>
          <w:lang w:eastAsia="es-ES"/>
        </w:rPr>
        <w:t>ii</w:t>
      </w:r>
      <w:proofErr w:type="spellEnd"/>
      <w:r w:rsidRPr="006F2305">
        <w:rPr>
          <w:rFonts w:ascii="Arial" w:eastAsia="Times New Roman" w:hAnsi="Arial" w:cs="Arial"/>
          <w:sz w:val="24"/>
          <w:szCs w:val="24"/>
          <w:lang w:eastAsia="es-ES"/>
        </w:rPr>
        <w:t xml:space="preserve">) Muebles y Enseres y Obras de Arte, </w:t>
      </w:r>
      <w:proofErr w:type="spellStart"/>
      <w:r w:rsidRPr="006F2305">
        <w:rPr>
          <w:rFonts w:ascii="Arial" w:eastAsia="Times New Roman" w:hAnsi="Arial" w:cs="Arial"/>
          <w:sz w:val="24"/>
          <w:szCs w:val="24"/>
          <w:lang w:eastAsia="es-ES"/>
        </w:rPr>
        <w:t>iii</w:t>
      </w:r>
      <w:proofErr w:type="spellEnd"/>
      <w:r w:rsidRPr="006F2305">
        <w:rPr>
          <w:rFonts w:ascii="Arial" w:eastAsia="Times New Roman" w:hAnsi="Arial" w:cs="Arial"/>
          <w:sz w:val="24"/>
          <w:szCs w:val="24"/>
          <w:lang w:eastAsia="es-ES"/>
        </w:rPr>
        <w:t xml:space="preserve">) Semovientes que hacen parte del inventario es administrada por la Gerencia de Bienes Muebles, en una base de datos en Excel.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El inventario de los bienes, así como la facturación de los contratos de arrendamientos son integrados al proceso contable en el aplicativo financiero, con registros manuales de causación, tomando como fuente de información la registrada en el aplicativo SIGMA SAE (Antes Matrix) y reportada en los listados de inventario y facturación los cuales demandan una conciliación permanente, para garantizar que la misma cumpla con las características propias de la información contable pública.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Resolución 351 del 24 de septiembre de 2014 creó el Grupo Interno de Trabajo de Aseguramiento y Control de la Información, siendo una de sus funciones generar los consolidados y reportes del aplicativo, obrando como el único canal emisor para la entrega de los datos oficiales del inventario.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Los sistemas de información donde ha sido administrada la información financiera del FRISCO se resumen a continuación:</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Calibri" w:hAnsi="Arial" w:cs="Arial"/>
          <w:sz w:val="24"/>
          <w:szCs w:val="24"/>
          <w:lang w:eastAsia="es-ES"/>
        </w:rPr>
      </w:pPr>
      <w:r w:rsidRPr="006F2305">
        <w:rPr>
          <w:rFonts w:ascii="Arial" w:eastAsia="Calibri" w:hAnsi="Arial" w:cs="Arial"/>
          <w:noProof/>
          <w:sz w:val="24"/>
          <w:szCs w:val="24"/>
          <w:lang w:val="es-CO" w:eastAsia="es-CO"/>
        </w:rPr>
        <w:drawing>
          <wp:inline distT="0" distB="0" distL="0" distR="0" wp14:anchorId="25C7923A" wp14:editId="74417F54">
            <wp:extent cx="5553850" cy="1038370"/>
            <wp:effectExtent l="0" t="0" r="0" b="9525"/>
            <wp:docPr id="2750" name="Imagen 2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53850" cy="1038370"/>
                    </a:xfrm>
                    <a:prstGeom prst="rect">
                      <a:avLst/>
                    </a:prstGeom>
                  </pic:spPr>
                </pic:pic>
              </a:graphicData>
            </a:graphic>
          </wp:inline>
        </w:drawing>
      </w:r>
    </w:p>
    <w:p w:rsidR="00DD24A3"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En el año 2018, fue adquirido el aplicativo SEVEN ERP, software que cuenta con ciclos y módulos integrados de la gestión financiera, Presupuesto-Contabilidad-Tesorería- Activos Fijos- Viáticos.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Durante el año 2019, el aplicativo SEVEN ERP, fue actualizado con las parametrizaciones necesarias para el registro de las transacciones efectuadas por la entidad. Actualmente está en proceso la integración con el aplicativo SIGMA SAE (Antes Matrix).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Calibri" w:hAnsi="Arial" w:cs="Arial"/>
          <w:sz w:val="24"/>
          <w:szCs w:val="24"/>
          <w:lang w:eastAsia="es-ES"/>
        </w:rPr>
      </w:pPr>
      <w:r w:rsidRPr="006F2305">
        <w:rPr>
          <w:rFonts w:ascii="Arial" w:eastAsia="Times New Roman" w:hAnsi="Arial" w:cs="Arial"/>
          <w:sz w:val="24"/>
          <w:szCs w:val="24"/>
          <w:lang w:eastAsia="es-ES"/>
        </w:rPr>
        <w:t>El aplicativo oficial para transmitir la información financiera del FRISCO a la Contaduría General de la Nación, para el cierre del ejercicio contable 2022 es el aplicativo SEVEN.</w:t>
      </w:r>
    </w:p>
    <w:p w:rsidR="00DD24A3" w:rsidRPr="006F2305" w:rsidRDefault="00DD24A3" w:rsidP="00DD24A3">
      <w:pPr>
        <w:widowControl/>
        <w:autoSpaceDE/>
        <w:autoSpaceDN/>
        <w:ind w:left="-142" w:right="-518"/>
        <w:jc w:val="both"/>
        <w:rPr>
          <w:rFonts w:ascii="Arial" w:eastAsia="Calibri"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b/>
          <w:sz w:val="28"/>
          <w:szCs w:val="28"/>
          <w:lang w:eastAsia="es-ES"/>
        </w:rPr>
      </w:pPr>
      <w:r w:rsidRPr="006F2305">
        <w:rPr>
          <w:rFonts w:ascii="Arial" w:eastAsia="Times New Roman" w:hAnsi="Arial" w:cs="Arial"/>
          <w:b/>
          <w:sz w:val="28"/>
          <w:szCs w:val="28"/>
          <w:lang w:eastAsia="es-ES"/>
        </w:rPr>
        <w:t xml:space="preserve">-Una vez revisados los estados financieros, las notas (Revelaciones) a los estados financieros y el informe sobre saldos y movimientos se encontraron las siguientes cuentas con sus respectivos saldos, así: </w:t>
      </w:r>
    </w:p>
    <w:p w:rsidR="00DD24A3" w:rsidRPr="006F2305" w:rsidRDefault="00DD24A3" w:rsidP="00DD24A3">
      <w:pPr>
        <w:widowControl/>
        <w:autoSpaceDE/>
        <w:autoSpaceDN/>
        <w:ind w:left="-142" w:right="-518"/>
        <w:rPr>
          <w:rFonts w:ascii="Arial" w:eastAsiaTheme="minorHAnsi" w:hAnsi="Arial" w:cs="Arial"/>
          <w:sz w:val="24"/>
          <w:szCs w:val="24"/>
          <w:lang w:val="es-ES_tradnl"/>
        </w:rPr>
      </w:pPr>
    </w:p>
    <w:p w:rsidR="00DD24A3" w:rsidRPr="00F61B17" w:rsidRDefault="00DD24A3" w:rsidP="00DD24A3">
      <w:pPr>
        <w:widowControl/>
        <w:autoSpaceDE/>
        <w:autoSpaceDN/>
        <w:ind w:left="-142" w:right="-518"/>
        <w:jc w:val="center"/>
        <w:rPr>
          <w:rFonts w:ascii="Arial" w:eastAsiaTheme="minorHAnsi" w:hAnsi="Arial" w:cs="Arial"/>
          <w:sz w:val="24"/>
          <w:szCs w:val="24"/>
          <w:lang w:val="es-ES_tradnl"/>
        </w:rPr>
      </w:pPr>
      <w:r w:rsidRPr="00F61B17">
        <w:rPr>
          <w:rFonts w:ascii="Arial" w:eastAsiaTheme="minorHAnsi" w:hAnsi="Arial" w:cs="Arial"/>
          <w:sz w:val="24"/>
          <w:szCs w:val="24"/>
          <w:lang w:val="es-CO"/>
        </w:rPr>
        <w:t xml:space="preserve">Cifras en miles </w:t>
      </w:r>
    </w:p>
    <w:p w:rsidR="00DD24A3" w:rsidRPr="006F2305" w:rsidRDefault="00DD24A3" w:rsidP="00DD24A3">
      <w:pPr>
        <w:widowControl/>
        <w:autoSpaceDE/>
        <w:autoSpaceDN/>
        <w:ind w:left="-142" w:right="-518"/>
        <w:rPr>
          <w:rFonts w:ascii="Arial" w:eastAsiaTheme="minorHAnsi" w:hAnsi="Arial" w:cs="Arial"/>
          <w:sz w:val="24"/>
          <w:szCs w:val="24"/>
          <w:lang w:val="es-ES_tradnl"/>
        </w:rPr>
      </w:pPr>
    </w:p>
    <w:tbl>
      <w:tblPr>
        <w:tblStyle w:val="Tablaconcuadrcula67"/>
        <w:tblW w:w="10627" w:type="dxa"/>
        <w:tblInd w:w="-142" w:type="dxa"/>
        <w:tblLook w:val="04A0" w:firstRow="1" w:lastRow="0" w:firstColumn="1" w:lastColumn="0" w:noHBand="0" w:noVBand="1"/>
      </w:tblPr>
      <w:tblGrid>
        <w:gridCol w:w="7083"/>
        <w:gridCol w:w="3544"/>
      </w:tblGrid>
      <w:tr w:rsidR="00DD24A3" w:rsidRPr="006F2305" w:rsidTr="00DD24A3">
        <w:tc>
          <w:tcPr>
            <w:tcW w:w="7083" w:type="dxa"/>
          </w:tcPr>
          <w:p w:rsidR="00DD24A3" w:rsidRPr="006F2305" w:rsidRDefault="00DD24A3" w:rsidP="00DD24A3">
            <w:pPr>
              <w:widowControl/>
              <w:autoSpaceDE/>
              <w:autoSpaceDN/>
              <w:ind w:right="-107"/>
              <w:jc w:val="center"/>
              <w:rPr>
                <w:rFonts w:ascii="Arial" w:eastAsiaTheme="minorHAnsi" w:hAnsi="Arial" w:cs="Arial"/>
                <w:b/>
                <w:sz w:val="20"/>
                <w:szCs w:val="20"/>
                <w:lang w:val="es-ES_tradnl"/>
              </w:rPr>
            </w:pPr>
            <w:r w:rsidRPr="006F2305">
              <w:rPr>
                <w:rFonts w:ascii="Arial" w:eastAsiaTheme="minorHAnsi" w:hAnsi="Arial" w:cs="Arial"/>
                <w:b/>
                <w:sz w:val="20"/>
                <w:szCs w:val="20"/>
                <w:lang w:val="es-ES_tradnl"/>
              </w:rPr>
              <w:t>NOMBRE</w:t>
            </w:r>
          </w:p>
        </w:tc>
        <w:tc>
          <w:tcPr>
            <w:tcW w:w="3544" w:type="dxa"/>
          </w:tcPr>
          <w:p w:rsidR="00DD24A3" w:rsidRPr="006F2305" w:rsidRDefault="00DD24A3" w:rsidP="00DD24A3">
            <w:pPr>
              <w:widowControl/>
              <w:autoSpaceDE/>
              <w:autoSpaceDN/>
              <w:ind w:right="33"/>
              <w:jc w:val="center"/>
              <w:rPr>
                <w:rFonts w:ascii="Arial" w:eastAsiaTheme="minorHAnsi" w:hAnsi="Arial" w:cs="Arial"/>
                <w:b/>
                <w:sz w:val="20"/>
                <w:szCs w:val="20"/>
                <w:lang w:val="es-ES_tradnl"/>
              </w:rPr>
            </w:pPr>
            <w:r w:rsidRPr="006F2305">
              <w:rPr>
                <w:rFonts w:ascii="Arial" w:eastAsiaTheme="minorHAnsi" w:hAnsi="Arial" w:cs="Arial"/>
                <w:b/>
                <w:sz w:val="20"/>
                <w:szCs w:val="20"/>
                <w:lang w:val="es-ES_tradnl"/>
              </w:rPr>
              <w:t>SALDO</w:t>
            </w:r>
          </w:p>
          <w:p w:rsidR="00DD24A3" w:rsidRPr="006F2305" w:rsidRDefault="00DD24A3" w:rsidP="00DD24A3">
            <w:pPr>
              <w:widowControl/>
              <w:autoSpaceDE/>
              <w:autoSpaceDN/>
              <w:ind w:right="33"/>
              <w:jc w:val="center"/>
              <w:rPr>
                <w:rFonts w:ascii="Arial" w:eastAsiaTheme="minorHAnsi" w:hAnsi="Arial" w:cs="Arial"/>
                <w:b/>
                <w:sz w:val="20"/>
                <w:szCs w:val="20"/>
                <w:lang w:val="es-ES_tradnl"/>
              </w:rPr>
            </w:pPr>
          </w:p>
        </w:tc>
      </w:tr>
      <w:tr w:rsidR="00DD24A3" w:rsidRPr="006F2305" w:rsidTr="00DD24A3">
        <w:trPr>
          <w:trHeight w:val="78"/>
        </w:trPr>
        <w:tc>
          <w:tcPr>
            <w:tcW w:w="7083" w:type="dxa"/>
          </w:tcPr>
          <w:p w:rsidR="00DD24A3" w:rsidRPr="006F2305" w:rsidRDefault="00DD24A3" w:rsidP="00DD24A3">
            <w:pPr>
              <w:widowControl/>
              <w:autoSpaceDE/>
              <w:autoSpaceDN/>
              <w:ind w:right="35"/>
              <w:rPr>
                <w:rFonts w:ascii="Arial" w:eastAsiaTheme="minorHAnsi" w:hAnsi="Arial" w:cs="Arial"/>
                <w:sz w:val="20"/>
                <w:szCs w:val="20"/>
                <w:lang w:val="es-ES_tradnl"/>
              </w:rPr>
            </w:pPr>
            <w:r w:rsidRPr="006F2305">
              <w:rPr>
                <w:rFonts w:ascii="Arial" w:eastAsiaTheme="minorHAnsi" w:hAnsi="Arial" w:cs="Arial"/>
                <w:sz w:val="20"/>
                <w:szCs w:val="20"/>
                <w:lang w:val="es-ES_tradnl"/>
              </w:rPr>
              <w:t>Déficit del ejercicio</w:t>
            </w:r>
          </w:p>
        </w:tc>
        <w:tc>
          <w:tcPr>
            <w:tcW w:w="3544" w:type="dxa"/>
          </w:tcPr>
          <w:p w:rsidR="00DD24A3" w:rsidRPr="006F2305" w:rsidRDefault="00DD24A3" w:rsidP="00DD24A3">
            <w:pPr>
              <w:widowControl/>
              <w:autoSpaceDE/>
              <w:autoSpaceDN/>
              <w:ind w:right="33"/>
              <w:jc w:val="right"/>
              <w:rPr>
                <w:rFonts w:ascii="Arial" w:eastAsiaTheme="minorHAnsi" w:hAnsi="Arial" w:cs="Arial"/>
                <w:sz w:val="20"/>
                <w:szCs w:val="20"/>
                <w:lang w:val="es-ES_tradnl"/>
              </w:rPr>
            </w:pPr>
            <w:r w:rsidRPr="006F2305">
              <w:rPr>
                <w:rFonts w:ascii="Arial" w:eastAsiaTheme="minorHAnsi" w:hAnsi="Arial" w:cs="Arial"/>
                <w:sz w:val="20"/>
                <w:szCs w:val="20"/>
                <w:lang w:val="es-ES_tradnl"/>
              </w:rPr>
              <w:t>(282.496.729)</w:t>
            </w:r>
          </w:p>
        </w:tc>
      </w:tr>
      <w:tr w:rsidR="00DD24A3" w:rsidRPr="006F2305" w:rsidTr="00DD24A3">
        <w:tc>
          <w:tcPr>
            <w:tcW w:w="7083" w:type="dxa"/>
          </w:tcPr>
          <w:p w:rsidR="00DD24A3" w:rsidRPr="006F2305" w:rsidRDefault="00DD24A3" w:rsidP="00DD24A3">
            <w:pPr>
              <w:widowControl/>
              <w:autoSpaceDE/>
              <w:autoSpaceDN/>
              <w:ind w:right="35"/>
              <w:rPr>
                <w:rFonts w:ascii="Arial" w:eastAsiaTheme="minorHAnsi" w:hAnsi="Arial" w:cs="Arial"/>
                <w:sz w:val="20"/>
                <w:szCs w:val="20"/>
                <w:lang w:val="es-ES_tradnl"/>
              </w:rPr>
            </w:pPr>
            <w:r w:rsidRPr="006F2305">
              <w:rPr>
                <w:rFonts w:ascii="Arial" w:eastAsiaTheme="minorHAnsi" w:hAnsi="Arial" w:cs="Arial"/>
                <w:sz w:val="20"/>
                <w:szCs w:val="20"/>
                <w:lang w:val="es-ES_tradnl"/>
              </w:rPr>
              <w:t>Variaciones patrimoniales negativas</w:t>
            </w:r>
          </w:p>
        </w:tc>
        <w:tc>
          <w:tcPr>
            <w:tcW w:w="3544" w:type="dxa"/>
          </w:tcPr>
          <w:p w:rsidR="00DD24A3" w:rsidRPr="006F2305" w:rsidRDefault="00DD24A3" w:rsidP="00DD24A3">
            <w:pPr>
              <w:widowControl/>
              <w:autoSpaceDE/>
              <w:autoSpaceDN/>
              <w:ind w:right="33"/>
              <w:jc w:val="right"/>
              <w:rPr>
                <w:rFonts w:ascii="Arial" w:eastAsiaTheme="minorHAnsi" w:hAnsi="Arial" w:cs="Arial"/>
                <w:sz w:val="20"/>
                <w:szCs w:val="20"/>
                <w:lang w:val="es-ES_tradnl"/>
              </w:rPr>
            </w:pPr>
            <w:r w:rsidRPr="006F2305">
              <w:rPr>
                <w:rFonts w:ascii="Arial" w:eastAsiaTheme="minorHAnsi" w:hAnsi="Arial" w:cs="Arial"/>
                <w:sz w:val="20"/>
                <w:szCs w:val="20"/>
                <w:lang w:val="es-ES_tradnl"/>
              </w:rPr>
              <w:t>(243.905.406)</w:t>
            </w:r>
          </w:p>
        </w:tc>
      </w:tr>
      <w:tr w:rsidR="00DD24A3" w:rsidRPr="006F2305" w:rsidTr="00DD24A3">
        <w:tc>
          <w:tcPr>
            <w:tcW w:w="7083" w:type="dxa"/>
          </w:tcPr>
          <w:p w:rsidR="00DD24A3" w:rsidRPr="006F2305" w:rsidRDefault="00DD24A3" w:rsidP="00DD24A3">
            <w:pPr>
              <w:widowControl/>
              <w:autoSpaceDE/>
              <w:autoSpaceDN/>
              <w:ind w:right="35"/>
              <w:rPr>
                <w:rFonts w:ascii="Arial" w:eastAsiaTheme="minorHAnsi" w:hAnsi="Arial" w:cs="Arial"/>
                <w:sz w:val="20"/>
                <w:szCs w:val="20"/>
                <w:lang w:val="es-ES_tradnl"/>
              </w:rPr>
            </w:pPr>
            <w:r w:rsidRPr="006F2305">
              <w:rPr>
                <w:rFonts w:ascii="Arial" w:eastAsiaTheme="minorHAnsi" w:hAnsi="Arial" w:cs="Arial"/>
                <w:sz w:val="20"/>
                <w:szCs w:val="20"/>
                <w:lang w:val="es-ES_tradnl"/>
              </w:rPr>
              <w:t>Resultado de ejercicios anteriores</w:t>
            </w:r>
          </w:p>
        </w:tc>
        <w:tc>
          <w:tcPr>
            <w:tcW w:w="3544" w:type="dxa"/>
          </w:tcPr>
          <w:p w:rsidR="00DD24A3" w:rsidRPr="006F2305" w:rsidRDefault="00DD24A3" w:rsidP="00DD24A3">
            <w:pPr>
              <w:widowControl/>
              <w:autoSpaceDE/>
              <w:autoSpaceDN/>
              <w:ind w:right="33"/>
              <w:jc w:val="right"/>
              <w:rPr>
                <w:rFonts w:ascii="Arial" w:eastAsiaTheme="minorHAnsi" w:hAnsi="Arial" w:cs="Arial"/>
                <w:sz w:val="20"/>
                <w:szCs w:val="20"/>
                <w:lang w:val="es-ES_tradnl"/>
              </w:rPr>
            </w:pPr>
            <w:r w:rsidRPr="006F2305">
              <w:rPr>
                <w:rFonts w:ascii="Arial" w:eastAsiaTheme="minorHAnsi" w:hAnsi="Arial" w:cs="Arial"/>
                <w:sz w:val="20"/>
                <w:szCs w:val="20"/>
                <w:lang w:val="es-ES_tradnl"/>
              </w:rPr>
              <w:t>(502.198.496)</w:t>
            </w:r>
          </w:p>
        </w:tc>
      </w:tr>
      <w:tr w:rsidR="00DD24A3" w:rsidRPr="006F2305" w:rsidTr="00DD24A3">
        <w:tc>
          <w:tcPr>
            <w:tcW w:w="7083" w:type="dxa"/>
          </w:tcPr>
          <w:p w:rsidR="00DD24A3" w:rsidRPr="006F2305" w:rsidRDefault="00DD24A3" w:rsidP="00DD24A3">
            <w:pPr>
              <w:widowControl/>
              <w:autoSpaceDE/>
              <w:autoSpaceDN/>
              <w:ind w:right="35"/>
              <w:rPr>
                <w:rFonts w:ascii="Arial" w:eastAsiaTheme="minorHAnsi" w:hAnsi="Arial" w:cs="Arial"/>
                <w:sz w:val="20"/>
                <w:szCs w:val="20"/>
                <w:lang w:val="es-ES_tradnl"/>
              </w:rPr>
            </w:pPr>
            <w:r w:rsidRPr="006F2305">
              <w:rPr>
                <w:rFonts w:ascii="Arial" w:eastAsiaTheme="minorHAnsi" w:hAnsi="Arial" w:cs="Arial"/>
                <w:sz w:val="20"/>
                <w:szCs w:val="20"/>
                <w:lang w:val="es-ES_tradnl"/>
              </w:rPr>
              <w:t>Pérdidas o déficit acumulados</w:t>
            </w:r>
          </w:p>
        </w:tc>
        <w:tc>
          <w:tcPr>
            <w:tcW w:w="3544" w:type="dxa"/>
          </w:tcPr>
          <w:p w:rsidR="00DD24A3" w:rsidRPr="006F2305" w:rsidRDefault="00DD24A3" w:rsidP="00DD24A3">
            <w:pPr>
              <w:widowControl/>
              <w:autoSpaceDE/>
              <w:autoSpaceDN/>
              <w:jc w:val="right"/>
              <w:rPr>
                <w:rFonts w:ascii="Arial" w:eastAsiaTheme="minorHAnsi" w:hAnsi="Arial" w:cs="Arial"/>
                <w:sz w:val="20"/>
                <w:szCs w:val="20"/>
                <w:lang w:val="es-ES_tradnl"/>
              </w:rPr>
            </w:pPr>
            <w:r w:rsidRPr="006F2305">
              <w:rPr>
                <w:rFonts w:ascii="Arial" w:eastAsiaTheme="minorHAnsi" w:hAnsi="Arial" w:cs="Arial"/>
                <w:sz w:val="20"/>
                <w:szCs w:val="20"/>
                <w:lang w:val="es-ES_tradnl"/>
              </w:rPr>
              <w:t>(2.397.037.909.00)</w:t>
            </w:r>
          </w:p>
        </w:tc>
      </w:tr>
    </w:tbl>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-NOTA 5. EFECTIVO Y EQUIVALENTES AL EFECTIVO – 5.2. Efectivo de Uso Restringido: </w:t>
      </w:r>
      <w:r w:rsidRPr="006F2305">
        <w:rPr>
          <w:rFonts w:ascii="Arial" w:eastAsia="Times New Roman" w:hAnsi="Arial" w:cs="Arial"/>
          <w:sz w:val="24"/>
          <w:szCs w:val="24"/>
          <w:lang w:eastAsia="es-ES"/>
        </w:rPr>
        <w:t>La composición y saldos al 31 de diciembre de 2022 y 2021 comprendían: (Cifras en miles).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0FBEA591" wp14:editId="1FE25C75">
            <wp:extent cx="5629275" cy="739471"/>
            <wp:effectExtent l="0" t="0" r="0" b="3810"/>
            <wp:docPr id="2751" name="Imagen 2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647843" cy="741910"/>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Este grupo está conformado por los embargos, que hace referencia a la retención de recursos por orden judicial, sobre dineros administrados en las cuentas bancarias del FRISCO, el detalle es el siguiente:</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4A01B17F" wp14:editId="3E03296E">
            <wp:extent cx="6106601" cy="2353310"/>
            <wp:effectExtent l="0" t="0" r="8890" b="8890"/>
            <wp:docPr id="4928" name="Imagen 4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23945" cy="2359994"/>
                    </a:xfrm>
                    <a:prstGeom prst="rect">
                      <a:avLst/>
                    </a:prstGeom>
                  </pic:spPr>
                </pic:pic>
              </a:graphicData>
            </a:graphic>
          </wp:inline>
        </w:drawing>
      </w:r>
    </w:p>
    <w:p w:rsidR="00DD24A3"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-NOTA 6. INVERSIONES E INSTRUMENTOS DERIVADOS – 6.2.1. Inversiones en Entidades en Liquidación: </w:t>
      </w:r>
      <w:r w:rsidRPr="006F2305">
        <w:rPr>
          <w:rFonts w:ascii="Arial" w:eastAsia="Times New Roman" w:hAnsi="Arial" w:cs="Arial"/>
          <w:sz w:val="24"/>
          <w:szCs w:val="24"/>
          <w:lang w:eastAsia="es-ES"/>
        </w:rPr>
        <w:t>La composición y saldos al 31 de diciembre de 2022 y 2021 comprendían:</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1A594811" wp14:editId="6E2E6540">
            <wp:extent cx="5639587" cy="1000265"/>
            <wp:effectExtent l="0" t="0" r="0" b="9525"/>
            <wp:docPr id="4929" name="Imagen 4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639587" cy="1000265"/>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 Para el cierre del 31 de diciembre de 2022, el reporte del aplicativo SIGMA SAE (Antes Matrix 2.0), relaciona 161 sociedades con activos, 40 sociedades de papel y 58 establecimientos de comercio, de las cuales 126, se encuentran sin información financiera. </w:t>
      </w:r>
    </w:p>
    <w:p w:rsidR="00C11C14" w:rsidRDefault="00C11C14" w:rsidP="00DD24A3">
      <w:pPr>
        <w:widowControl/>
        <w:autoSpaceDE/>
        <w:autoSpaceDN/>
        <w:ind w:left="-142" w:right="-518"/>
        <w:jc w:val="both"/>
        <w:rPr>
          <w:rFonts w:ascii="Arial" w:eastAsia="Times New Roman" w:hAnsi="Arial" w:cs="Arial"/>
          <w:sz w:val="24"/>
          <w:szCs w:val="24"/>
          <w:lang w:eastAsia="es-ES"/>
        </w:rPr>
      </w:pPr>
    </w:p>
    <w:p w:rsidR="00C11C14" w:rsidRDefault="00C11C14" w:rsidP="00DD24A3">
      <w:pPr>
        <w:widowControl/>
        <w:autoSpaceDE/>
        <w:autoSpaceDN/>
        <w:ind w:left="-142" w:right="-518"/>
        <w:jc w:val="both"/>
        <w:rPr>
          <w:rFonts w:ascii="Arial" w:eastAsia="Times New Roman" w:hAnsi="Arial" w:cs="Arial"/>
          <w:sz w:val="24"/>
          <w:szCs w:val="24"/>
          <w:lang w:eastAsia="es-ES"/>
        </w:rPr>
      </w:pPr>
    </w:p>
    <w:p w:rsidR="00C11C14" w:rsidRDefault="00C11C14" w:rsidP="00DD24A3">
      <w:pPr>
        <w:widowControl/>
        <w:autoSpaceDE/>
        <w:autoSpaceDN/>
        <w:ind w:left="-142" w:right="-518"/>
        <w:jc w:val="both"/>
        <w:rPr>
          <w:rFonts w:ascii="Arial" w:eastAsia="Times New Roman" w:hAnsi="Arial" w:cs="Arial"/>
          <w:sz w:val="24"/>
          <w:szCs w:val="24"/>
          <w:lang w:eastAsia="es-ES"/>
        </w:rPr>
      </w:pPr>
    </w:p>
    <w:p w:rsidR="00C11C14" w:rsidRDefault="00C11C14" w:rsidP="00DD24A3">
      <w:pPr>
        <w:widowControl/>
        <w:autoSpaceDE/>
        <w:autoSpaceDN/>
        <w:ind w:left="-142" w:right="-518"/>
        <w:jc w:val="both"/>
        <w:rPr>
          <w:rFonts w:ascii="Arial" w:eastAsia="Times New Roman" w:hAnsi="Arial" w:cs="Arial"/>
          <w:sz w:val="24"/>
          <w:szCs w:val="24"/>
          <w:lang w:eastAsia="es-ES"/>
        </w:rPr>
      </w:pPr>
    </w:p>
    <w:p w:rsidR="00C11C14" w:rsidRDefault="00C11C14" w:rsidP="00DD24A3">
      <w:pPr>
        <w:widowControl/>
        <w:autoSpaceDE/>
        <w:autoSpaceDN/>
        <w:ind w:left="-142" w:right="-518"/>
        <w:jc w:val="both"/>
        <w:rPr>
          <w:rFonts w:ascii="Arial" w:eastAsia="Times New Roman" w:hAnsi="Arial" w:cs="Arial"/>
          <w:sz w:val="24"/>
          <w:szCs w:val="24"/>
          <w:lang w:eastAsia="es-ES"/>
        </w:rPr>
      </w:pPr>
    </w:p>
    <w:p w:rsidR="00C11C14" w:rsidRDefault="00C11C14" w:rsidP="00DD24A3">
      <w:pPr>
        <w:widowControl/>
        <w:autoSpaceDE/>
        <w:autoSpaceDN/>
        <w:ind w:left="-142" w:right="-518"/>
        <w:jc w:val="both"/>
        <w:rPr>
          <w:rFonts w:ascii="Arial" w:eastAsia="Times New Roman" w:hAnsi="Arial" w:cs="Arial"/>
          <w:sz w:val="24"/>
          <w:szCs w:val="24"/>
          <w:lang w:eastAsia="es-ES"/>
        </w:rPr>
      </w:pPr>
    </w:p>
    <w:p w:rsidR="00C11C14" w:rsidRPr="006F2305" w:rsidRDefault="00C11C14"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lastRenderedPageBreak/>
        <w:t>Las Inversiones en Sociedades en Liquidación, al 31 de diciembre de 2022, es la siguiente:</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04EF477B" wp14:editId="6A95FDA4">
            <wp:extent cx="5525271" cy="1781424"/>
            <wp:effectExtent l="0" t="0" r="0" b="9525"/>
            <wp:docPr id="4930" name="Imagen 4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525271" cy="1781424"/>
                    </a:xfrm>
                    <a:prstGeom prst="rect">
                      <a:avLst/>
                    </a:prstGeom>
                  </pic:spPr>
                </pic:pic>
              </a:graphicData>
            </a:graphic>
          </wp:inline>
        </w:drawing>
      </w: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1730731E" wp14:editId="38BD0703">
            <wp:extent cx="5534797" cy="3248478"/>
            <wp:effectExtent l="0" t="0" r="8890" b="9525"/>
            <wp:docPr id="4931" name="Imagen 4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534797" cy="3248478"/>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En virtud de los antecedentes y el origen de las participaciones patrimoniales, la información financiera de las sociedades y establecimientos de comercio debe ser reconstruida, además debe surtir un proceso de validación por parte de la Vicepresidencia de Sociedades, de manera que, se presentan diferencias en las fechas de corte entre los estados financieros del Fondo FRISCO y los Estados Financieros de las Sociedades y los Establecimientos de Comercio.</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-NOTA 7. CUENTAS POR COBRAR – Composición: </w:t>
      </w:r>
      <w:r w:rsidRPr="006F2305">
        <w:rPr>
          <w:rFonts w:ascii="Arial" w:eastAsia="Times New Roman" w:hAnsi="Arial" w:cs="Arial"/>
          <w:sz w:val="24"/>
          <w:szCs w:val="24"/>
          <w:lang w:eastAsia="es-ES"/>
        </w:rPr>
        <w:t>La composición y saldos al 31 de diciembre de 2022 y 2021 comprendían: (Cifras en miles).</w:t>
      </w: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b/>
          <w:sz w:val="24"/>
          <w:szCs w:val="24"/>
          <w:lang w:eastAsia="es-ES"/>
        </w:rPr>
      </w:pPr>
      <w:r w:rsidRPr="006F2305">
        <w:rPr>
          <w:rFonts w:ascii="Arial" w:eastAsia="Times New Roman" w:hAnsi="Arial" w:cs="Arial"/>
          <w:b/>
          <w:noProof/>
          <w:sz w:val="24"/>
          <w:szCs w:val="24"/>
          <w:lang w:val="es-CO" w:eastAsia="es-CO"/>
        </w:rPr>
        <w:lastRenderedPageBreak/>
        <w:drawing>
          <wp:inline distT="0" distB="0" distL="0" distR="0" wp14:anchorId="46C2D202" wp14:editId="3AFF815A">
            <wp:extent cx="5687219" cy="1505160"/>
            <wp:effectExtent l="0" t="0" r="8890" b="0"/>
            <wp:docPr id="4932" name="Imagen 4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687219" cy="1505160"/>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En el año 2022</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fueron clasificados saldos del grupo cuentas por cobrar 1.3.85, Venta de Bienes, 1.3.38, Sentencias, Laudos Arbitrales, y 1.3.84 Otras Cuentas por Cobrar, al grupo de cuenta 1.3.85 Cuentas por Cobrar de Difícil Recaudo por valor de $59.376.632.</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77121F60" wp14:editId="0D4AA33C">
            <wp:extent cx="5619749" cy="2234316"/>
            <wp:effectExtent l="0" t="0" r="635" b="0"/>
            <wp:docPr id="4933" name="Imagen 4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631754" cy="2239089"/>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7.21.2. Otras Cuentas por Cobrar – Arrendamiento Operativo: </w:t>
      </w:r>
      <w:r w:rsidRPr="006F2305">
        <w:rPr>
          <w:rFonts w:ascii="Arial" w:eastAsia="Times New Roman" w:hAnsi="Arial" w:cs="Arial"/>
          <w:sz w:val="24"/>
          <w:szCs w:val="24"/>
          <w:lang w:eastAsia="es-ES"/>
        </w:rPr>
        <w:t>La composición y saldos al 31 de diciembre de 2022 comprendían:</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0364E3EE" wp14:editId="5088DE9A">
            <wp:extent cx="5639587" cy="1409897"/>
            <wp:effectExtent l="0" t="0" r="0" b="0"/>
            <wp:docPr id="4934" name="Imagen 4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639587" cy="1409897"/>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desagregado de los conceptos que conforma este grupo de cuenta se describe en los numerales 7.21.2.1, 7.21.2.2, 7.21.2.3 y 7.21.2.4.</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7.21.2.1. Arrendamiento Recaudo Centralizado – Composición: </w:t>
      </w:r>
      <w:r w:rsidRPr="006F2305">
        <w:rPr>
          <w:rFonts w:ascii="Arial" w:eastAsia="Times New Roman" w:hAnsi="Arial" w:cs="Arial"/>
          <w:sz w:val="24"/>
          <w:szCs w:val="24"/>
          <w:lang w:eastAsia="es-ES"/>
        </w:rPr>
        <w:t xml:space="preserve">Representa la cartera generada en el proceso de arrendamiento, esta cuenta se encuentra en proceso de depuración y conciliación.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Durante el periodo de tiempo en el que la Dirección Nacional de Estupefacientes administró la información financiera del FRISCO, no reconoció la cartera generada por canon de arrendamiento en los estados financieros.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listado generado del aplicativo SIGMA SAE (Antes Matrix), con el saldo de cartera por concepto de canon de arrendamiento, al 31 de diciembre 2017, registraba un saldo de $22,934,022, con 2.386 contratos, agrupados en 2.177 terceros, de los cuales 2.063, presentaron diferencia con relación al saldo reflejado en el aplicativo financiero “Concisa FRISCO”.</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En el año 2018, se inició el proceso de conciliar la información registrada en el aplicativo SIGMA SAE (Antes Matrix)</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con la información registrada en el aplicativo financiero “Concisa FRISCO”, proceso que finalizó el 31 de diciembre de 2019.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Las situaciones que generan las partidas conciliatorias se consolidan en las siguientes clasificaciones: a) Saldos iniciales: Hacen referencia a las cuentas por cobrar por concepto de canon de arrendamiento y que durante el periodo de tiempo en que fue administrada la información financiera por parte de la Dirección Nacional de Estupefacientes, esta cartera no fue reconocida en los estados financieros del Fondo FRISCO. y b) La facturación de los contratos de arrendamiento es integrada al proceso contable en el aplicativo financiero, mediante registros manuales de causación, tomando como fuente de información el reporte de facturación emitido del aplicativo SIGMA SAE (Antes Matrix).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En el proceso de conciliación se evidencia que algunas operaciones efectuadas en el aplicativo SIGMA SAE (Antes Matrix) no aparecen relacionadas en los listados de facturación o reportes que genera el aplicativo. La actividad de conciliación descrita anteriormente se debió continuar con un alcance al 31 de diciembre 2019.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r w:rsidRPr="006F2305">
        <w:rPr>
          <w:rFonts w:ascii="Arial" w:eastAsia="Times New Roman" w:hAnsi="Arial" w:cs="Arial"/>
          <w:sz w:val="24"/>
          <w:szCs w:val="24"/>
          <w:lang w:eastAsia="es-ES"/>
        </w:rPr>
        <w:t>El saldo de cartera por concepto de canon de arrendamiento, al 31 de diciembre 2019, registraba un saldo de $27,806,687, con un universo de 4.974 contratos, agrupados en 4.330 terceros de los cuales 3.168, presentaron diferencia con relación al saldo reflejado en el aplicativo financiero “Concisa FRISCO”, el avance al cierre de diciembre de 2020 fue el 43%, con el siguiente resultado.</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2DD09C2E" wp14:editId="37044935">
            <wp:extent cx="5430008" cy="2162477"/>
            <wp:effectExtent l="0" t="0" r="0" b="9525"/>
            <wp:docPr id="4935" name="Imagen 4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430008" cy="2162477"/>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Durante el año 2021</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la Gerencia Comercial inició un nuevo proceso de conciliación y depuración de los saldos de cartera, y presentó el siguiente informe para el cierre del ejercicio 2021.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El proceso de conciliación y depuración de cartera adelantado en la vigencia 2021, se realizó con prioridad a los contratos y clientes con mayor volumen de cartera y mayor edad de mora, lo que permitió conciliar 909 contratos que representan alrededor del 20% de los clientes, con el mayor </w:t>
      </w:r>
      <w:r w:rsidRPr="006F2305">
        <w:rPr>
          <w:rFonts w:ascii="Arial" w:eastAsia="Times New Roman" w:hAnsi="Arial" w:cs="Arial"/>
          <w:sz w:val="24"/>
          <w:szCs w:val="24"/>
          <w:lang w:eastAsia="es-ES"/>
        </w:rPr>
        <w:lastRenderedPageBreak/>
        <w:t>volumen de registros y operaciones e intervención de alrededor del 70% del valor de la cartera; esto permitió reducir en más del 50% la diferencia presentada entre los saldo reflejados en los estados financieros y el aplicativo SIGMA SAE, donde el avance consolidado al cierre de año es un 60% de los ajustes, quedando pendiente de aprobación un estimado del 40% de las notas de ajuste que se verán reflejadas en enero y febrero de la vigencia 2022.</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Este proceso tiene continuidad en la vigencia 2022, con el propósito de alcanzar el objetivo de conciliación y depuración definitiva a más tardar entre junio y septiembre 2022, no obstante, queda pendiente al rededor del 60% de los clientes ya excluido el 20% que no requiere proceso de conciliación, pero que representa un menor volumen de operaciones y registros por corresponder a una menor edad de mora.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Las partidas conciliatorias se consolidan básicamente en las siguientes clasificaciones, siendo las más representativas las dos primeras: a) Saldos iniciales que hacen referencia a cuentas por cobrar por concepto de canon de arrendamiento que durante el periodo de administración de la Dirección Nacional de Estupefacientes, no fueron reconocidas en los estados financieros del Fondo FRISCO o saldos iniciales al momento del ingreso del bien incautado y que en su momento se registró administrativamente en SIGMA SAE, con el objetivo de seguimiento y gestión jurídica y eventual reconocimiento, facturación y pago por parte de los clientes listados. b) Mora no real o saldos de facturas generadas por error al no conocer y dar ingreso a la novedad jurídica de terminación de contrato. c) Saldos de facturas que por error del sistema no aparecen en los listados de facturación y estados de cuenta generados por el aplicativo SIGMA SAE (Antes Matrix), como se evidencia en el proceso de conciliación. d) Notas de ajuste realizadas en el aplicativo SIGMA SAE (Antes Matrix) que no debían ser reconocidas en los estados financieros por ser un ajuste que hace referencia a registros administrativos o saldos iniciales no registrados contablemente. e) Notas de ajustes registradas en el aplicativo contable no informadas y registradas en el aplicativo SIGMA SAE (Antes Matrix). Cada uno de los conceptos han sido analizados y cuentan con instrucciones y procedimientos que corrigen las debilidades en el proceso y que dieron origen a estas.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Por su parte, es preciso anotar que, durante la vigencia comprendida entre el 1º de enero al 31 de diciembre 2022, no se registró operación alguna de pignoración de cartera por acuerdos, transacciones o compromisos de la presente o anterior vigencia fiscal; no se registró transferencia de cuentas por cobrar a terceros diferente a la cesión de cartera que se debe adelantar por definición legal e instruida en la metodología de administración de los bienes del FRISCO, al momento y en los casos de devolución de bienes a beneficiarios en cumplimiento de decisión judicial de revocatoria de extinción de dominio; igualmente, no se presentó baja parcial o total de cuentas por cobrar por deterioro o castigo durante la referida vigencia.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informe de la conciliación de los saldos en los estados financieros frente a los saldos de cartera, registrados en el aplicativo SIGMA SAE</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es el siguiente:</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lastRenderedPageBreak/>
        <w:drawing>
          <wp:inline distT="0" distB="0" distL="0" distR="0" wp14:anchorId="3A794E72" wp14:editId="5AC33D3C">
            <wp:extent cx="5611008" cy="1810003"/>
            <wp:effectExtent l="0" t="0" r="0" b="0"/>
            <wp:docPr id="4936" name="Imagen 4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611008" cy="1810003"/>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u w:val="single"/>
          <w:lang w:eastAsia="es-ES"/>
        </w:rPr>
        <w:t>De acuerdo con lo descrito anteriormente las cuentas por cobrar se encuentran en un proceso de depuración y existen saldos positivos, así como también saldos con naturaleza contraria a la cuenta por cobrar</w:t>
      </w:r>
      <w:r w:rsidRPr="006F2305">
        <w:rPr>
          <w:rFonts w:ascii="Arial" w:eastAsia="Times New Roman" w:hAnsi="Arial" w:cs="Arial"/>
          <w:sz w:val="24"/>
          <w:szCs w:val="24"/>
          <w:lang w:eastAsia="es-ES"/>
        </w:rPr>
        <w:t xml:space="preserve">.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cálculo del deterioro se realizó sobre los saldos positivos, sin embargo, al comparar la cifra del deterioro, con el saldo de la cartera clasificada en la categoría cuenta por cobrar y cuentas por cobrar de difícil recaudo, el saldo del deterioro es superior al valor de la cartera, ocasionado por los terceros de naturaleza contraria a las cuentas por cobrar, que también disminuyen el saldo de la cartera por concepto de canon de arrendamiento.</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Clasificación: </w:t>
      </w:r>
      <w:r w:rsidRPr="006F2305">
        <w:rPr>
          <w:rFonts w:ascii="Arial" w:eastAsia="Times New Roman" w:hAnsi="Arial" w:cs="Arial"/>
          <w:sz w:val="24"/>
          <w:szCs w:val="24"/>
          <w:lang w:eastAsia="es-ES"/>
        </w:rPr>
        <w:t xml:space="preserve">La Gerencia Comercial presentó el siguiente informe al cierre del ejercicio 2022, relacionado con la clasificación y el cálculo del deterioro.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cartera por canon de arrendamiento de los bienes inmuebles se clasificó por nivel de riesgo y porcentaje de deterioro conforme lo define la Metodología de </w:t>
      </w:r>
      <w:r>
        <w:rPr>
          <w:rFonts w:ascii="Arial" w:eastAsia="Times New Roman" w:hAnsi="Arial" w:cs="Arial"/>
          <w:sz w:val="24"/>
          <w:szCs w:val="24"/>
          <w:lang w:eastAsia="es-ES"/>
        </w:rPr>
        <w:t>A</w:t>
      </w:r>
      <w:r w:rsidRPr="006F2305">
        <w:rPr>
          <w:rFonts w:ascii="Arial" w:eastAsia="Times New Roman" w:hAnsi="Arial" w:cs="Arial"/>
          <w:sz w:val="24"/>
          <w:szCs w:val="24"/>
          <w:lang w:eastAsia="es-ES"/>
        </w:rPr>
        <w:t xml:space="preserve">dministración de </w:t>
      </w:r>
      <w:r>
        <w:rPr>
          <w:rFonts w:ascii="Arial" w:eastAsia="Times New Roman" w:hAnsi="Arial" w:cs="Arial"/>
          <w:sz w:val="24"/>
          <w:szCs w:val="24"/>
          <w:lang w:eastAsia="es-ES"/>
        </w:rPr>
        <w:t>B</w:t>
      </w:r>
      <w:r w:rsidRPr="006F2305">
        <w:rPr>
          <w:rFonts w:ascii="Arial" w:eastAsia="Times New Roman" w:hAnsi="Arial" w:cs="Arial"/>
          <w:sz w:val="24"/>
          <w:szCs w:val="24"/>
          <w:lang w:eastAsia="es-ES"/>
        </w:rPr>
        <w:t xml:space="preserve">ienes del FRISCO y el porcentaje de deterioro definido en el </w:t>
      </w:r>
      <w:r>
        <w:rPr>
          <w:rFonts w:ascii="Arial" w:eastAsia="Times New Roman" w:hAnsi="Arial" w:cs="Arial"/>
          <w:sz w:val="24"/>
          <w:szCs w:val="24"/>
          <w:lang w:eastAsia="es-ES"/>
        </w:rPr>
        <w:t>M</w:t>
      </w:r>
      <w:r w:rsidRPr="006F2305">
        <w:rPr>
          <w:rFonts w:ascii="Arial" w:eastAsia="Times New Roman" w:hAnsi="Arial" w:cs="Arial"/>
          <w:sz w:val="24"/>
          <w:szCs w:val="24"/>
          <w:lang w:eastAsia="es-ES"/>
        </w:rPr>
        <w:t xml:space="preserve">anual de </w:t>
      </w:r>
      <w:r>
        <w:rPr>
          <w:rFonts w:ascii="Arial" w:eastAsia="Times New Roman" w:hAnsi="Arial" w:cs="Arial"/>
          <w:sz w:val="24"/>
          <w:szCs w:val="24"/>
          <w:lang w:eastAsia="es-ES"/>
        </w:rPr>
        <w:t>P</w:t>
      </w:r>
      <w:r w:rsidRPr="006F2305">
        <w:rPr>
          <w:rFonts w:ascii="Arial" w:eastAsia="Times New Roman" w:hAnsi="Arial" w:cs="Arial"/>
          <w:sz w:val="24"/>
          <w:szCs w:val="24"/>
          <w:lang w:eastAsia="es-ES"/>
        </w:rPr>
        <w:t xml:space="preserve">olíticas y </w:t>
      </w:r>
      <w:r>
        <w:rPr>
          <w:rFonts w:ascii="Arial" w:eastAsia="Times New Roman" w:hAnsi="Arial" w:cs="Arial"/>
          <w:sz w:val="24"/>
          <w:szCs w:val="24"/>
          <w:lang w:eastAsia="es-ES"/>
        </w:rPr>
        <w:t>P</w:t>
      </w:r>
      <w:r w:rsidRPr="006F2305">
        <w:rPr>
          <w:rFonts w:ascii="Arial" w:eastAsia="Times New Roman" w:hAnsi="Arial" w:cs="Arial"/>
          <w:sz w:val="24"/>
          <w:szCs w:val="24"/>
          <w:lang w:eastAsia="es-ES"/>
        </w:rPr>
        <w:t xml:space="preserve">rocedimientos </w:t>
      </w:r>
      <w:r>
        <w:rPr>
          <w:rFonts w:ascii="Arial" w:eastAsia="Times New Roman" w:hAnsi="Arial" w:cs="Arial"/>
          <w:sz w:val="24"/>
          <w:szCs w:val="24"/>
          <w:lang w:eastAsia="es-ES"/>
        </w:rPr>
        <w:t>C</w:t>
      </w:r>
      <w:r w:rsidRPr="006F2305">
        <w:rPr>
          <w:rFonts w:ascii="Arial" w:eastAsia="Times New Roman" w:hAnsi="Arial" w:cs="Arial"/>
          <w:sz w:val="24"/>
          <w:szCs w:val="24"/>
          <w:lang w:eastAsia="es-ES"/>
        </w:rPr>
        <w:t>ontables del FRISCO, de la siguiente forma:</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0F110E20" wp14:editId="1C57A79C">
            <wp:extent cx="3839111" cy="1076475"/>
            <wp:effectExtent l="0" t="0" r="9525" b="9525"/>
            <wp:docPr id="4937" name="Imagen 4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839111" cy="1076475"/>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Para realizar la clasificación de la cartera por categoría de riesgo se tiene en cuenta la obligación más antigua que se encuentra pendiente de pago por contrato y cliente y aplica tanto para bienes de administración directa o de depositarios, conforme lo define la Metodología de Administración de Bienes del FRISCO.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proceso de clasificación no es automático del aplicativo, este módulo no tiene dicha funcionalidad, por lo que se realiza mediante un proceso manual partiendo del saldo vencido y el valor periódico del canon de arrendamiento, lo que permite definir el número de días de mora a partir de la obligación más antigua que corresponde al primer canon en mora.</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lastRenderedPageBreak/>
        <w:drawing>
          <wp:inline distT="0" distB="0" distL="0" distR="0" wp14:anchorId="69C5D82C" wp14:editId="6602FB48">
            <wp:extent cx="5532126" cy="1622066"/>
            <wp:effectExtent l="0" t="0" r="0" b="0"/>
            <wp:docPr id="4938" name="Imagen 4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558310" cy="1629743"/>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Como se observa en el cuadro de clasificación de cartera por categoría de riesgo, el mayor volumen de cartera se clasifica en la categoría de riesgo E, con más de 180 días de mora y cuantía de $64.680.871, cifra en pesos, esta clasificación está en proceso de conciliación y depuración, incluidos los saldos negativos identificados en el proceso de conciliación que se está ejecutando. Este proceso requiere de la obtención y recopilación de nueva información que permita validar la existencia de derechos, o una posible mora no real, por que eventualmente no corresponde a la realidad de saldos iniciales al momento de la recepción de los bienes provenientes de la extinta Dirección Nacional de Estupefacientes</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al momento de la recepción de los nuevos bienes objeto de incautación.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En el año 2021 se aplicó lo definido en el Manual de Políticas y Procedimientos Contables para el cálculo del deterioro de cartera que ascendió a $1.692.946, cifra en miles de pesos, se excluyó la cartera que superaba 180 días de vencimiento por encontrarse en proceso de depuración y saneamiento, especialmente en lo relacionado con los saldos iniciales, donde los ajustes están sujetos a la obtención de nueva información, por lo que, culminado este proceso la metodología se aplicará en forma integral. En el año 2022, el cálculo del deterioro ascendió $65.596.192, cifra en miles de pesos, en donde se incluyó la cartera que supera 180 días.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En cuanto a la evolución de la conciliación y de acuerdo con el informe de la Gerencia Comercial en el Memorando 20231500015173, sobre los estados de cuenta Sigma y los saldos contables en donde se empezaron a revisar terceros en septiembre de 2021</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entre los saldos de cartera y los saldos registrados en los Estados Financieros, pasando de una diferencia de $36.145 millones a $9.443 millones, han sido realizados ajustes por valor de $26.702 millones logrando un porcentaje del 73.8% entre los estados SIGMA 1.5.(Cartera) y los registros Contables.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A corte diciembre de 2022</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se tiene registrado un total en cartera de 6.636 terceros donde se evidencia que 3.362 se encuentran con diferencia de saldo entre (100 y -100) pesos entre los auxiliares contables y el SIGMA 1.5. con porcentaje del 50% en la conciliación. Se aclara que no significa que se tenga una realidad económica del contrato ya que para esto es necesario revisar cada minuta del contrato para identificar si lo que se encuentra en el estado de cuenta sea lo pactado en el contrato.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Los documentos que se tienen como soporte de este trabajo son todas las fichas “F-DT1-388 Formato Ficha Conciliación Cartera” que se encuentran centralizadas en la Gerencia Comercial pero que a su vez cada responsable de las regionales tiene en sus carpetas.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r w:rsidRPr="006F2305">
        <w:rPr>
          <w:rFonts w:ascii="Arial" w:eastAsia="Times New Roman" w:hAnsi="Arial" w:cs="Arial"/>
          <w:b/>
          <w:sz w:val="24"/>
          <w:szCs w:val="24"/>
          <w:lang w:eastAsia="es-ES"/>
        </w:rPr>
        <w:t xml:space="preserve">7.21.2.2. Arrendamiento Bienes Muebles: </w:t>
      </w:r>
      <w:r w:rsidRPr="006F2305">
        <w:rPr>
          <w:rFonts w:ascii="Arial" w:eastAsia="Times New Roman" w:hAnsi="Arial" w:cs="Arial"/>
          <w:sz w:val="24"/>
          <w:szCs w:val="24"/>
          <w:lang w:eastAsia="es-ES"/>
        </w:rPr>
        <w:t xml:space="preserve">Por incumplimiento en los contratos de arrendamiento la Gerencia de Muebles solicitó acciones legales a los terceros, Distribuidora </w:t>
      </w:r>
      <w:r>
        <w:rPr>
          <w:rFonts w:ascii="Arial" w:eastAsia="Times New Roman" w:hAnsi="Arial" w:cs="Arial"/>
          <w:sz w:val="24"/>
          <w:szCs w:val="24"/>
          <w:lang w:eastAsia="es-ES"/>
        </w:rPr>
        <w:t>d</w:t>
      </w:r>
      <w:r w:rsidRPr="006F2305">
        <w:rPr>
          <w:rFonts w:ascii="Arial" w:eastAsia="Times New Roman" w:hAnsi="Arial" w:cs="Arial"/>
          <w:sz w:val="24"/>
          <w:szCs w:val="24"/>
          <w:lang w:eastAsia="es-ES"/>
        </w:rPr>
        <w:t xml:space="preserve">e Suministros con el Memorando CI2017- 005482, John Eraso </w:t>
      </w:r>
      <w:proofErr w:type="spellStart"/>
      <w:r w:rsidRPr="006F2305">
        <w:rPr>
          <w:rFonts w:ascii="Arial" w:eastAsia="Times New Roman" w:hAnsi="Arial" w:cs="Arial"/>
          <w:sz w:val="24"/>
          <w:szCs w:val="24"/>
          <w:lang w:eastAsia="es-ES"/>
        </w:rPr>
        <w:t>Churon</w:t>
      </w:r>
      <w:proofErr w:type="spellEnd"/>
      <w:r w:rsidRPr="006F2305">
        <w:rPr>
          <w:rFonts w:ascii="Arial" w:eastAsia="Times New Roman" w:hAnsi="Arial" w:cs="Arial"/>
          <w:sz w:val="24"/>
          <w:szCs w:val="24"/>
          <w:lang w:eastAsia="es-ES"/>
        </w:rPr>
        <w:t xml:space="preserve"> con el memorando CI2020-003805, John Milton </w:t>
      </w:r>
      <w:r w:rsidRPr="006F2305">
        <w:rPr>
          <w:rFonts w:ascii="Arial" w:eastAsia="Times New Roman" w:hAnsi="Arial" w:cs="Arial"/>
          <w:sz w:val="24"/>
          <w:szCs w:val="24"/>
          <w:lang w:eastAsia="es-ES"/>
        </w:rPr>
        <w:lastRenderedPageBreak/>
        <w:t>Ramírez Villanueva con el memorando CI2020-003990, y Constructora del Café Ingeniería Colombia S.A.S, con el Memorando CI2018-003492.</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r w:rsidRPr="006F2305">
        <w:rPr>
          <w:rFonts w:ascii="Arial" w:eastAsia="Times New Roman" w:hAnsi="Arial" w:cs="Arial"/>
          <w:b/>
          <w:sz w:val="24"/>
          <w:szCs w:val="24"/>
          <w:lang w:eastAsia="es-ES"/>
        </w:rPr>
        <w:t xml:space="preserve">7.21.2.3. Arrendamiento Inmuebles – Depositarios: </w:t>
      </w:r>
      <w:r w:rsidRPr="006F2305">
        <w:rPr>
          <w:rFonts w:ascii="Arial" w:eastAsia="Times New Roman" w:hAnsi="Arial" w:cs="Arial"/>
          <w:sz w:val="24"/>
          <w:szCs w:val="24"/>
          <w:lang w:eastAsia="es-ES"/>
        </w:rPr>
        <w:t>La funcionalidad de recaudo centralizado en el aplicativo SIGMA</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conllevó a que los saldos de cartera reportados por los Depositarios en los Informes de Gestión fueran migrados al aplicativo SIGMA (Antes Matrix). La Gerencia de Inmuebles realiza la revisión a la rendición de cuentas de los Depositarios, en donde, entre otros conceptos, informaban la cuenta por cobrar por concepto de canon de arrendamiento de los inmuebles administrados.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Por lo anterior</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el saldo de esta cuenta está en proceso de depuración debido a que la Gerencia de Inmuebles no ha finalizado con esta revisión de los saldos migrados al aplicativo SIGMA, en consecuencia, no ha sido presentado el informe con los saldos que fueron migrado de los informes de Gestión de los Depositarios al recaudo centralizado SIGMA (Antes Matrix).</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7.21.2.4. Otras Cuentas por Cobrar – Otros Deudores: </w:t>
      </w:r>
      <w:r w:rsidRPr="006F2305">
        <w:rPr>
          <w:rFonts w:ascii="Arial" w:eastAsia="Times New Roman" w:hAnsi="Arial" w:cs="Arial"/>
          <w:sz w:val="24"/>
          <w:szCs w:val="24"/>
          <w:lang w:eastAsia="es-ES"/>
        </w:rPr>
        <w:t>La composición y saldos al 31 de diciembre de 2022</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comprendían:</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b/>
          <w:sz w:val="24"/>
          <w:szCs w:val="24"/>
          <w:lang w:eastAsia="es-ES"/>
        </w:rPr>
      </w:pPr>
      <w:r w:rsidRPr="006F2305">
        <w:rPr>
          <w:rFonts w:ascii="Arial" w:eastAsia="Times New Roman" w:hAnsi="Arial" w:cs="Arial"/>
          <w:b/>
          <w:noProof/>
          <w:sz w:val="24"/>
          <w:szCs w:val="24"/>
          <w:lang w:val="es-CO" w:eastAsia="es-CO"/>
        </w:rPr>
        <w:drawing>
          <wp:inline distT="0" distB="0" distL="0" distR="0" wp14:anchorId="1B6ED732" wp14:editId="06424B12">
            <wp:extent cx="5620534" cy="1181265"/>
            <wp:effectExtent l="0" t="0" r="0" b="0"/>
            <wp:docPr id="4939" name="Imagen 4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620534" cy="1181265"/>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Representa el valor del contrato de transacción suscrito el 12 de junio de 2020, con ALPOPULAR ALMACÉN GENERAL DE DEPÓSITOS S.A., por valor de $3.180.835.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En la liquidación del contrato 005 de 2016, se presentó un sobrecosto en la facturación por $2.962.132, Alpopular aceptó el sobrecosto, más una indexación de $218.703, con la propuesta de pago en trabajo, para ser aplicada con nota crédito, durante la vigencia del nuevo contrato 066, la última cuota del acuerdo de transacción es para octubre de 2023.</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Pr>
          <w:rFonts w:ascii="Arial" w:eastAsia="Times New Roman" w:hAnsi="Arial" w:cs="Arial"/>
          <w:b/>
          <w:sz w:val="24"/>
          <w:szCs w:val="24"/>
          <w:lang w:eastAsia="es-ES"/>
        </w:rPr>
        <w:t>7.22. Cuentas por Cobrar de D</w:t>
      </w:r>
      <w:r w:rsidRPr="006F2305">
        <w:rPr>
          <w:rFonts w:ascii="Arial" w:eastAsia="Times New Roman" w:hAnsi="Arial" w:cs="Arial"/>
          <w:b/>
          <w:sz w:val="24"/>
          <w:szCs w:val="24"/>
          <w:lang w:eastAsia="es-ES"/>
        </w:rPr>
        <w:t xml:space="preserve">ifícil Recaudo: </w:t>
      </w:r>
      <w:r w:rsidRPr="006F2305">
        <w:rPr>
          <w:rFonts w:ascii="Arial" w:eastAsia="Times New Roman" w:hAnsi="Arial" w:cs="Arial"/>
          <w:sz w:val="24"/>
          <w:szCs w:val="24"/>
          <w:lang w:eastAsia="es-ES"/>
        </w:rPr>
        <w:t>La CGN de acuerdo con el Concepto 20221100075141 del 27 de diciembre de 2022, precisó que las cuentas por cobrar son susceptibles de ser reclasificadas a cuentas por cobrar de difícil recaudo, situación que se presenta como consecuencia de la existencia de aspectos relacionados con niveles considerables de antigüedad o morosidad, en comparación con los plazos normales estipulados por la empresa para la recuperación de saldos.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saldo al 31 de diciembre de diciembre de 2022</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comprendía los siguientes conceptos: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lastRenderedPageBreak/>
        <w:drawing>
          <wp:inline distT="0" distB="0" distL="0" distR="0" wp14:anchorId="3846A3F7" wp14:editId="090D1DF0">
            <wp:extent cx="5648325" cy="1884459"/>
            <wp:effectExtent l="0" t="0" r="0" b="1905"/>
            <wp:docPr id="4940" name="Imagen 4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658068" cy="1887710"/>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En el año 2022</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fueron clasificados saldos del grupo cuentas por cobrar 1.3.85, Venta de Bienes, 1.3.38, Sentencias, Laudos Arbitrales, y 1.3.84 Otras Cuentas por Cobrar, al grupo de cuenta 1.3.85 Cuentas por Cobrar de Difícil Recaudo por valor de $59.376.632.</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Cuentas por Cobrar Arrendamiento. </w:t>
      </w:r>
      <w:r w:rsidRPr="006F2305">
        <w:rPr>
          <w:rFonts w:ascii="Arial" w:eastAsia="Times New Roman" w:hAnsi="Arial" w:cs="Arial"/>
          <w:sz w:val="24"/>
          <w:szCs w:val="24"/>
          <w:lang w:eastAsia="es-ES"/>
        </w:rPr>
        <w:t xml:space="preserve">En el numeral 7.21.2.1, titulo Otras Cuentas por Cobrar - Arrendamiento Recaudo Centralizado - se encuentran descritos los antecedentes, y composición de esta cartera.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Las cuentas por cobrar se encuentran en un proceso de depuración y existen saldos positivos, así como también saldos con naturaleza contraria a las cuentas por cobrar.</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cálculo del deterioro se realizó sobre los saldos positivos, sin embargo, al comparar la cifra del deterioro, con el saldo de la cartera clasificada en la categoría cuenta por cobrar y cuentas por cobrar de difícil recaudo, el saldo del deterioro es superior al valor de la cartera, ocasionado por los terceros de naturaleza contraria a las cuentas por cobrar, que también disminuyen el saldo de cartera.</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(2) Bienes Equivalentes Fabio Puyo Vásquez.</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En los Estados Financieros del FRISCO, representa la sentencia del Juzgado Octavo Penal del Circuito </w:t>
      </w:r>
      <w:r>
        <w:rPr>
          <w:rFonts w:ascii="Arial" w:eastAsia="Times New Roman" w:hAnsi="Arial" w:cs="Arial"/>
          <w:sz w:val="24"/>
          <w:szCs w:val="24"/>
          <w:lang w:eastAsia="es-ES"/>
        </w:rPr>
        <w:t>E</w:t>
      </w:r>
      <w:r w:rsidRPr="006F2305">
        <w:rPr>
          <w:rFonts w:ascii="Arial" w:eastAsia="Times New Roman" w:hAnsi="Arial" w:cs="Arial"/>
          <w:sz w:val="24"/>
          <w:szCs w:val="24"/>
          <w:lang w:eastAsia="es-ES"/>
        </w:rPr>
        <w:t>specializado de Bogotá, proceso 2003-140-8 de fecha 21 de julio de 2003, en la que determina que los inmuebles de Fabio Puyo Vásquez, descritos a continuación cumplen la condición para la extinción del derecho de dominio de bienes equivalentes, y por lo tanto en la sentencia no se desconocen los derechos adquiridos, a las personas que compraron los inmuebles. (Memorando 171-1225-2013 del 30 diciembre de 2013 radicado 20131710055063).</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Los folios de Matrícula Inmobiliaria de los Bienes son: 50N-200097962; 5ON-384449; 5ON372231; 157-80026; 5ON 0116967; 50C-185687; 50C-7118; 50C-185688; 50C-200024; 50N-489994; 50N-1358938; 50C-575395; 50N-1136201; 157-41805; 157-15101; 157- 22488; 157-22651.</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r w:rsidRPr="006F2305">
        <w:rPr>
          <w:rFonts w:ascii="Arial" w:eastAsia="Times New Roman" w:hAnsi="Arial" w:cs="Arial"/>
          <w:b/>
          <w:sz w:val="24"/>
          <w:szCs w:val="24"/>
          <w:lang w:eastAsia="es-ES"/>
        </w:rPr>
        <w:t xml:space="preserve">7.38. Sentencias, </w:t>
      </w:r>
      <w:r>
        <w:rPr>
          <w:rFonts w:ascii="Arial" w:eastAsia="Times New Roman" w:hAnsi="Arial" w:cs="Arial"/>
          <w:b/>
          <w:sz w:val="24"/>
          <w:szCs w:val="24"/>
          <w:lang w:eastAsia="es-ES"/>
        </w:rPr>
        <w:t>L</w:t>
      </w:r>
      <w:r w:rsidRPr="006F2305">
        <w:rPr>
          <w:rFonts w:ascii="Arial" w:eastAsia="Times New Roman" w:hAnsi="Arial" w:cs="Arial"/>
          <w:b/>
          <w:sz w:val="24"/>
          <w:szCs w:val="24"/>
          <w:lang w:eastAsia="es-ES"/>
        </w:rPr>
        <w:t xml:space="preserve">audos Arbitrales y Conciliaciones Extrajudiciales a favor de la entidad:  </w:t>
      </w: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b/>
          <w:sz w:val="24"/>
          <w:szCs w:val="24"/>
          <w:lang w:eastAsia="es-ES"/>
        </w:rPr>
      </w:pPr>
      <w:r w:rsidRPr="006F2305">
        <w:rPr>
          <w:rFonts w:ascii="Arial" w:eastAsia="Times New Roman" w:hAnsi="Arial" w:cs="Arial"/>
          <w:b/>
          <w:noProof/>
          <w:sz w:val="24"/>
          <w:szCs w:val="24"/>
          <w:lang w:val="es-CO" w:eastAsia="es-CO"/>
        </w:rPr>
        <w:drawing>
          <wp:inline distT="0" distB="0" distL="0" distR="0" wp14:anchorId="5742468B" wp14:editId="249931D7">
            <wp:extent cx="5630061" cy="1000265"/>
            <wp:effectExtent l="0" t="0" r="0" b="9525"/>
            <wp:docPr id="4941" name="Imagen 4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630061" cy="1000265"/>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lastRenderedPageBreak/>
        <w:t>La cuenta por cobrar Laudos Arbitrales y Conciliación presenta un saldo de $192.586 a diciembre del 2022, y corresponde a un acuerdo de pago conforme al preacuerdo judicial con el señor Omar Adolfo Figueroa.</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-NOTA 9. INVENTARIOS: </w:t>
      </w:r>
      <w:r w:rsidRPr="006F2305">
        <w:rPr>
          <w:rFonts w:ascii="Arial" w:eastAsia="Times New Roman" w:hAnsi="Arial" w:cs="Arial"/>
          <w:sz w:val="24"/>
          <w:szCs w:val="24"/>
          <w:lang w:eastAsia="es-ES"/>
        </w:rPr>
        <w:t>La cuenta inventarios refleja el saldo de los muebles e inmuebles que han sido afectados con una medida cautelar de extinción de dominio, la tipología de los bienes que conforman este grupo se caracteriza por: a) La titularidad del bien está a favor del estado, b) La entidad tiene la intención de vender estos bienes en el curso normal de la operación, c) La metodología de reconocimiento inicial corresponde a una transacción sin contraprestación, o por el traslado entre las cuentas de Propiedades de Inversión, Propiedades Planta y Equipo.</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Composición: </w:t>
      </w:r>
      <w:r w:rsidRPr="006F2305">
        <w:rPr>
          <w:rFonts w:ascii="Arial" w:eastAsia="Times New Roman" w:hAnsi="Arial" w:cs="Arial"/>
          <w:sz w:val="24"/>
          <w:szCs w:val="24"/>
          <w:lang w:eastAsia="es-ES"/>
        </w:rPr>
        <w:t>La composición y saldos al 31 de diciembre de 2022 y 2021</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comprendían:</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2419DBCD" wp14:editId="0F120105">
            <wp:extent cx="5524498" cy="834887"/>
            <wp:effectExtent l="0" t="0" r="635" b="3810"/>
            <wp:docPr id="4942" name="Imagen 4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538548" cy="837010"/>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Los bienes puestos a disposición del Fondo para la Rehabilitación, Inversión Social y Lucha Contra el Crimen Organizado “FRISCO”, son registrados en el aplicativo Matrix, con excepción de los siguientes conceptos: i) Los depósitos en custodia, </w:t>
      </w:r>
      <w:proofErr w:type="spellStart"/>
      <w:r w:rsidRPr="006F2305">
        <w:rPr>
          <w:rFonts w:ascii="Arial" w:eastAsia="Times New Roman" w:hAnsi="Arial" w:cs="Arial"/>
          <w:sz w:val="24"/>
          <w:szCs w:val="24"/>
          <w:lang w:eastAsia="es-ES"/>
        </w:rPr>
        <w:t>ii</w:t>
      </w:r>
      <w:proofErr w:type="spellEnd"/>
      <w:r w:rsidRPr="006F2305">
        <w:rPr>
          <w:rFonts w:ascii="Arial" w:eastAsia="Times New Roman" w:hAnsi="Arial" w:cs="Arial"/>
          <w:sz w:val="24"/>
          <w:szCs w:val="24"/>
          <w:lang w:eastAsia="es-ES"/>
        </w:rPr>
        <w:t xml:space="preserve">) Muebles y Enseres y Obras de Arte, esta información es administrada por la Gerencia de Bienes </w:t>
      </w:r>
      <w:r>
        <w:rPr>
          <w:rFonts w:ascii="Arial" w:eastAsia="Times New Roman" w:hAnsi="Arial" w:cs="Arial"/>
          <w:sz w:val="24"/>
          <w:szCs w:val="24"/>
          <w:lang w:eastAsia="es-ES"/>
        </w:rPr>
        <w:t>M</w:t>
      </w:r>
      <w:r w:rsidRPr="006F2305">
        <w:rPr>
          <w:rFonts w:ascii="Arial" w:eastAsia="Times New Roman" w:hAnsi="Arial" w:cs="Arial"/>
          <w:sz w:val="24"/>
          <w:szCs w:val="24"/>
          <w:lang w:eastAsia="es-ES"/>
        </w:rPr>
        <w:t xml:space="preserve">uebles en una base de datos en Excel.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El inventario de bienes es integrado al proceso contable en el aplicativo financiero, con registros manuales de causación, tomando como fuente de información la registrada en el aplicativo SIGMA SAE (Antes Matrix) y reportada en los listados emitidos por el GIT de aseguramiento de la Información.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La Resolución 351 del 24 de septiembre de 2014</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crea el Grupo Interno de Trabajo de Aseguramiento y Control de la Información, siendo una de sus funciones generar los consolidados y reportes del aplicativo, obrando como el único canal emisor para la entrega de los datos oficiales del inventario del FRISCO.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saldo del inventario en el Estado de Situación Financiera se produce con la última información disponible registrada en el aplicativo SIGMA (Antes Matrix) y el saldo a 31 de diciembre de 2022, desagregado por tipología de bienes es el siguiente:</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40BDE379" wp14:editId="4FCC7DCF">
            <wp:extent cx="5934903" cy="1876687"/>
            <wp:effectExtent l="0" t="0" r="0" b="9525"/>
            <wp:docPr id="4943" name="Imagen 4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934903" cy="1876687"/>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lastRenderedPageBreak/>
        <w:t xml:space="preserve">La medición inicial de los bienes reconocidos en el inventario está sujeta al porcentaje de extinción de dominio decretado en la sentencia judicial. Para cada grupo se aplicó la siguiente metodología, a) Los bienes inmuebles: Fueron reconocidos aplicando la metodología de valoración interna, desarrollada por la Gerencia Técnica, o el avalúo comercial. b) Los vehículos: se registraron al valor de mercado, tomando como fuente de información el estado de conservación, así como el valor del avalúo anunciado en la resolución emitida anualmente por el Ministerio de Transporte, </w:t>
      </w:r>
      <w:proofErr w:type="spellStart"/>
      <w:r w:rsidRPr="006F2305">
        <w:rPr>
          <w:rFonts w:ascii="Arial" w:eastAsia="Times New Roman" w:hAnsi="Arial" w:cs="Arial"/>
          <w:sz w:val="24"/>
          <w:szCs w:val="24"/>
          <w:lang w:eastAsia="es-ES"/>
        </w:rPr>
        <w:t>ó</w:t>
      </w:r>
      <w:proofErr w:type="spellEnd"/>
      <w:r w:rsidRPr="006F2305">
        <w:rPr>
          <w:rFonts w:ascii="Arial" w:eastAsia="Times New Roman" w:hAnsi="Arial" w:cs="Arial"/>
          <w:sz w:val="24"/>
          <w:szCs w:val="24"/>
          <w:lang w:eastAsia="es-ES"/>
        </w:rPr>
        <w:t xml:space="preserve"> el Avalúo chatarra o Avalúo comercial, realizados por peritos con certificación RAA.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Al 31 de diciembre de 2022, 148 inmuebles del grupo rurales y 161 inmuebles del grupo inmuebles rurales no tienen valor.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En el año 2018, se realizó la migración de la información del aplicativo Matrix 1.0 a Matrix 2.0 (Hoy SIGMA SAE), proceso documentado en actas, por parte del GIT de Aseguramiento y Control de la Información, en donde se concluye que la migración a Matrix 2.0 (Hoy SIGMA SAE), corresponde a aquellos bienes activos que a la fecha están siendo administrados por SAE S.A.S y que están certificados por las áreas misionales de la entidad, los datos excluidos de migración, se almacenaron en un repositorio que facilitará su consulta, así lo indican las actas, la Oficina de Control Interno acompañó este proceso.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Los antecedentes se basan en el acta de fecha 22 de septiembre de 2014, donde la extinta Dirección Nacional de Estupefacientes (DNE), hizo entrega de la base de información del aplicativo Matrix, a la Sociedad de Activos Especiales, con el inventario de bienes administrados, en referidas actas de entrega se indicó que sobre las características de congruencia y veracidad de la información de la base de datos entregada, la Sociedad de Activos Especiales se reserva la facultad de verificación y validación, actividades que se ejecutarán como parte de su gestión como administrador del FRISCO y sobre las cuales presentará reporte mensual de avance al Ministerio de Hacienda y Crédito Público y al Ministerio de </w:t>
      </w:r>
      <w:r>
        <w:rPr>
          <w:rFonts w:ascii="Arial" w:eastAsia="Times New Roman" w:hAnsi="Arial" w:cs="Arial"/>
          <w:sz w:val="24"/>
          <w:szCs w:val="24"/>
          <w:lang w:eastAsia="es-ES"/>
        </w:rPr>
        <w:t>J</w:t>
      </w:r>
      <w:r w:rsidRPr="006F2305">
        <w:rPr>
          <w:rFonts w:ascii="Arial" w:eastAsia="Times New Roman" w:hAnsi="Arial" w:cs="Arial"/>
          <w:sz w:val="24"/>
          <w:szCs w:val="24"/>
          <w:lang w:eastAsia="es-ES"/>
        </w:rPr>
        <w:t>usticia y del Derecho.</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-NOTA 21. CUENTAS POR PAGAR – 21.1.5. Recursos a Favor de Terceros: </w:t>
      </w:r>
      <w:r w:rsidRPr="006F2305">
        <w:rPr>
          <w:rFonts w:ascii="Arial" w:eastAsia="Times New Roman" w:hAnsi="Arial" w:cs="Arial"/>
          <w:sz w:val="24"/>
          <w:szCs w:val="24"/>
          <w:lang w:eastAsia="es-ES"/>
        </w:rPr>
        <w:t>El saldo al 31 de diciembre de 2022, comprendían los siguientes conceptos: (Cifras en miles).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73035AC4" wp14:editId="62BE18F9">
            <wp:extent cx="5658640" cy="1714739"/>
            <wp:effectExtent l="0" t="0" r="0" b="0"/>
            <wp:docPr id="4944" name="Imagen 4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658640" cy="1714739"/>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9C26D4">
        <w:rPr>
          <w:rFonts w:ascii="Arial" w:eastAsia="Times New Roman" w:hAnsi="Arial" w:cs="Arial"/>
          <w:sz w:val="24"/>
          <w:szCs w:val="24"/>
          <w:lang w:eastAsia="es-ES"/>
        </w:rPr>
        <w:t>En esta categoría se clasifican: a) Los dineros recaudados en la venta de bienes de las sociedades, b) Las consignaciones que ingresan a las cuentas bancarias donde no se logra identificar el tercero (Nombre, razón social, número de identificación tributaria o cédula) de quien realizó la consignación, así como tampoco se logra establecer específicamente el bien o número del proceso jurídico al que pertenecen, y c) Otros recursos a favor de terceros identificados como SAI, sociedades y cartera de terceros.</w:t>
      </w:r>
    </w:p>
    <w:p w:rsidR="00DD24A3"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lastRenderedPageBreak/>
        <w:t xml:space="preserve">21.1.10. Créditos Judiciales: </w:t>
      </w:r>
      <w:r w:rsidRPr="006F2305">
        <w:rPr>
          <w:rFonts w:ascii="Arial" w:eastAsia="Times New Roman" w:hAnsi="Arial" w:cs="Arial"/>
          <w:sz w:val="24"/>
          <w:szCs w:val="24"/>
          <w:lang w:eastAsia="es-ES"/>
        </w:rPr>
        <w:t>El saldo al 31 de diciembre de 2022, comprendían los siguientes conceptos: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31D0E764" wp14:editId="3649C67D">
            <wp:extent cx="5630061" cy="1095528"/>
            <wp:effectExtent l="0" t="0" r="8890" b="9525"/>
            <wp:docPr id="4945" name="Imagen 4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630061" cy="1095528"/>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El Fondo FRISCO, reconoce en la cuenta créditos judiciales: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numPr>
          <w:ilvl w:val="0"/>
          <w:numId w:val="5"/>
        </w:numPr>
        <w:autoSpaceDE/>
        <w:autoSpaceDN/>
        <w:spacing w:before="1"/>
        <w:ind w:right="-518"/>
        <w:jc w:val="both"/>
        <w:rPr>
          <w:rFonts w:ascii="Arial" w:eastAsia="Arial" w:hAnsi="Arial" w:cs="Arial"/>
          <w:sz w:val="24"/>
          <w:szCs w:val="24"/>
        </w:rPr>
      </w:pPr>
      <w:r w:rsidRPr="006F2305">
        <w:rPr>
          <w:rFonts w:ascii="Arial" w:eastAsia="Arial" w:hAnsi="Arial" w:cs="Arial"/>
          <w:b/>
          <w:sz w:val="24"/>
          <w:szCs w:val="24"/>
        </w:rPr>
        <w:t>Sentencia - Procesos Jurídicos:</w:t>
      </w:r>
      <w:r w:rsidRPr="006F2305">
        <w:rPr>
          <w:rFonts w:ascii="Arial" w:eastAsia="Arial" w:hAnsi="Arial" w:cs="Arial"/>
          <w:sz w:val="24"/>
          <w:szCs w:val="24"/>
        </w:rPr>
        <w:t xml:space="preserve"> La variación del saldo al 31 de diciembre de 2022, respecto al 31 de diciembre de 2021, se genera por el reconocimiento en el Estado de Situación Financiera de FRISCO del contingente judicial, que se realizó con fundamento en el informe de procesos jurídicos, suministrado por la Gerencia de Asuntos Legales, en el Memorando 20233100006103, cálculo realizado de acuerdo con lo establecido por la Agencia de Defensa Jurídica del Estado mediante Circular Externa 0023 de noviembre de 2015 y la Resolución No. 353 de 2016. </w:t>
      </w:r>
    </w:p>
    <w:p w:rsidR="00DD24A3" w:rsidRPr="006F2305" w:rsidRDefault="00DD24A3" w:rsidP="00DD24A3">
      <w:pPr>
        <w:spacing w:before="1"/>
        <w:ind w:left="578" w:right="-518"/>
        <w:jc w:val="both"/>
        <w:rPr>
          <w:rFonts w:ascii="Arial" w:eastAsia="Arial" w:hAnsi="Arial" w:cs="Arial"/>
          <w:sz w:val="24"/>
          <w:szCs w:val="24"/>
        </w:rPr>
      </w:pPr>
    </w:p>
    <w:p w:rsidR="00DD24A3" w:rsidRPr="006F2305" w:rsidRDefault="00DD24A3" w:rsidP="00DD24A3">
      <w:pPr>
        <w:widowControl/>
        <w:numPr>
          <w:ilvl w:val="0"/>
          <w:numId w:val="5"/>
        </w:numPr>
        <w:autoSpaceDE/>
        <w:autoSpaceDN/>
        <w:spacing w:before="1"/>
        <w:ind w:right="-518"/>
        <w:jc w:val="both"/>
        <w:rPr>
          <w:rFonts w:ascii="Arial" w:eastAsia="Arial" w:hAnsi="Arial" w:cs="Arial"/>
          <w:sz w:val="24"/>
          <w:szCs w:val="24"/>
        </w:rPr>
      </w:pPr>
      <w:r w:rsidRPr="006F2305">
        <w:rPr>
          <w:rFonts w:ascii="Arial" w:eastAsia="Arial" w:hAnsi="Arial" w:cs="Arial"/>
          <w:b/>
          <w:sz w:val="24"/>
          <w:szCs w:val="24"/>
        </w:rPr>
        <w:t>Sentencias en Proceso Fontanar:</w:t>
      </w:r>
      <w:r w:rsidRPr="006F2305">
        <w:rPr>
          <w:rFonts w:ascii="Arial" w:eastAsia="Arial" w:hAnsi="Arial" w:cs="Arial"/>
          <w:sz w:val="24"/>
          <w:szCs w:val="24"/>
        </w:rPr>
        <w:t xml:space="preserve"> Representa el registro del 70% del lote Fontanar a favor del Club Deportivo los Millonarios, en atención al acuerdo transaccional suscrito entre dicho club y el depositario liquidador de las sociedades Ramada en Liquidación y </w:t>
      </w:r>
      <w:proofErr w:type="spellStart"/>
      <w:r w:rsidRPr="006F2305">
        <w:rPr>
          <w:rFonts w:ascii="Arial" w:eastAsia="Arial" w:hAnsi="Arial" w:cs="Arial"/>
          <w:sz w:val="24"/>
          <w:szCs w:val="24"/>
        </w:rPr>
        <w:t>Condisur</w:t>
      </w:r>
      <w:proofErr w:type="spellEnd"/>
      <w:r w:rsidRPr="006F2305">
        <w:rPr>
          <w:rFonts w:ascii="Arial" w:eastAsia="Arial" w:hAnsi="Arial" w:cs="Arial"/>
          <w:sz w:val="24"/>
          <w:szCs w:val="24"/>
        </w:rPr>
        <w:t xml:space="preserve"> SA en liquidación (Estas últimas poseen extinción de dominio a favor de la Nación). El lote Fontanar hace parte de los activos del FRISCO y una vez se realice su venta debe ser cancelado el saldo del 70% al Club Los Millonarios. </w:t>
      </w:r>
    </w:p>
    <w:p w:rsidR="00DD24A3" w:rsidRPr="006F2305" w:rsidRDefault="00DD24A3" w:rsidP="00DD24A3">
      <w:pPr>
        <w:spacing w:before="1"/>
        <w:ind w:left="874" w:hanging="360"/>
        <w:jc w:val="both"/>
        <w:rPr>
          <w:rFonts w:ascii="Arial" w:eastAsia="Arial" w:hAnsi="Arial" w:cs="Arial"/>
          <w:b/>
          <w:sz w:val="24"/>
          <w:szCs w:val="24"/>
        </w:rPr>
      </w:pPr>
    </w:p>
    <w:p w:rsidR="00DD24A3" w:rsidRPr="006F2305" w:rsidRDefault="00DD24A3" w:rsidP="00DD24A3">
      <w:pPr>
        <w:widowControl/>
        <w:numPr>
          <w:ilvl w:val="0"/>
          <w:numId w:val="5"/>
        </w:numPr>
        <w:autoSpaceDE/>
        <w:autoSpaceDN/>
        <w:spacing w:before="1"/>
        <w:ind w:right="-518"/>
        <w:jc w:val="both"/>
        <w:rPr>
          <w:rFonts w:ascii="Arial" w:eastAsia="Arial" w:hAnsi="Arial" w:cs="Arial"/>
          <w:sz w:val="24"/>
          <w:szCs w:val="24"/>
        </w:rPr>
      </w:pPr>
      <w:r w:rsidRPr="006F2305">
        <w:rPr>
          <w:rFonts w:ascii="Arial" w:eastAsia="Arial" w:hAnsi="Arial" w:cs="Arial"/>
          <w:b/>
          <w:sz w:val="24"/>
          <w:szCs w:val="24"/>
        </w:rPr>
        <w:t>Sentencias – Contingente Judicial:</w:t>
      </w:r>
      <w:r w:rsidRPr="006F2305">
        <w:rPr>
          <w:rFonts w:ascii="Arial" w:eastAsia="Arial" w:hAnsi="Arial" w:cs="Arial"/>
          <w:sz w:val="24"/>
          <w:szCs w:val="24"/>
        </w:rPr>
        <w:t xml:space="preserve"> Este saldo corresponde a las cuentas por pagar correspondiente a sentencias registradas en el año 2022; pero que se realiza el pago en el año 2023.</w:t>
      </w: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-NOTA 23. PROVISIONES – Composición: </w:t>
      </w:r>
      <w:r w:rsidRPr="006F2305">
        <w:rPr>
          <w:rFonts w:ascii="Arial" w:eastAsia="Times New Roman" w:hAnsi="Arial" w:cs="Arial"/>
          <w:sz w:val="24"/>
          <w:szCs w:val="24"/>
          <w:lang w:eastAsia="es-ES"/>
        </w:rPr>
        <w:t>El saldo al 31 de diciembre comprendía los siguientes conceptos: (Cifras en miles de pesos).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4750771C" wp14:editId="74F654DF">
            <wp:extent cx="5620534" cy="800212"/>
            <wp:effectExtent l="0" t="0" r="0" b="0"/>
            <wp:docPr id="4946" name="Imagen 4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620534" cy="800212"/>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provisión por litigios reconocida al 31 de diciembre de 2022 y al 31 de diciembre de 2021 corresponde a la cuantificación de las demandas interpuestas contra el FRISCO.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En esta clasificación también se reconoce el monto estimado de las eventuales devoluciones que puedan presentarse por la venta de los bienes bajo la figura de enajenación temprana, es decir aquellos inmuebles que aún se encuentran en un proceso de extinción de dominio.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lastRenderedPageBreak/>
        <w:t>Los valores presentados en el Estado de Situación Financiera, pueden ser objeto de ajustes a partir de las incertidumbres relacionadas con la obligación, tales como el valor de la pretensión, la tasa esperada de la condena, y la fecha esperada de pago, entre otras.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23.1.1. Litigios y Demandas: </w:t>
      </w:r>
      <w:r w:rsidRPr="006F2305">
        <w:rPr>
          <w:rFonts w:ascii="Arial" w:eastAsia="Times New Roman" w:hAnsi="Arial" w:cs="Arial"/>
          <w:sz w:val="24"/>
          <w:szCs w:val="24"/>
          <w:lang w:eastAsia="es-ES"/>
        </w:rPr>
        <w:t>La composición y saldos al 31 de diciembre</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comprendían:</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2922D7D7" wp14:editId="38BF0B14">
            <wp:extent cx="5619115" cy="787179"/>
            <wp:effectExtent l="0" t="0" r="635" b="0"/>
            <wp:docPr id="4947" name="Imagen 4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630371" cy="788756"/>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r w:rsidRPr="006F2305">
        <w:rPr>
          <w:rFonts w:ascii="Arial" w:eastAsia="Times New Roman" w:hAnsi="Arial" w:cs="Arial"/>
          <w:b/>
          <w:sz w:val="24"/>
          <w:szCs w:val="24"/>
          <w:lang w:eastAsia="es-ES"/>
        </w:rPr>
        <w:t>23.1.1.1. Conciliación del Valor en Libros:</w:t>
      </w: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b/>
          <w:sz w:val="24"/>
          <w:szCs w:val="24"/>
          <w:lang w:eastAsia="es-ES"/>
        </w:rPr>
      </w:pPr>
      <w:r w:rsidRPr="006F2305">
        <w:rPr>
          <w:rFonts w:ascii="Arial" w:eastAsia="Times New Roman" w:hAnsi="Arial" w:cs="Arial"/>
          <w:b/>
          <w:noProof/>
          <w:sz w:val="24"/>
          <w:szCs w:val="24"/>
          <w:lang w:val="es-CO" w:eastAsia="es-CO"/>
        </w:rPr>
        <w:drawing>
          <wp:inline distT="0" distB="0" distL="0" distR="0" wp14:anchorId="1418CC0B" wp14:editId="16588A4E">
            <wp:extent cx="5656095" cy="1232453"/>
            <wp:effectExtent l="0" t="0" r="1905" b="6350"/>
            <wp:docPr id="4948" name="Imagen 4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685636" cy="1238890"/>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El reconocimiento en el Estado de Situación Financiera del contingente judicial se realizó con fundamento en el informe de procesos jurídicos, suministrado por la Gerencia de Asuntos Legales, quienes han adoptado la metodología de valoración establecida por la Agencia Nacional de Defensa Jurídica del Estado, descrita en la Circular Externa 0023 de noviembre de 2015 y la Resolución 353 del 1° de noviembre de 2016.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resumen del contingente judicial del FRISCO se presenta a continuación, con la estimación, a diciembre de 2022, informada por la Gerencia de Asuntos Legales en el memorando 20233100006103.</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sz w:val="24"/>
          <w:szCs w:val="24"/>
          <w:lang w:eastAsia="es-ES"/>
        </w:rPr>
      </w:pPr>
      <w:r w:rsidRPr="006F2305">
        <w:rPr>
          <w:rFonts w:ascii="Arial" w:eastAsia="Times New Roman" w:hAnsi="Arial" w:cs="Arial"/>
          <w:noProof/>
          <w:sz w:val="24"/>
          <w:szCs w:val="24"/>
          <w:lang w:val="es-CO" w:eastAsia="es-CO"/>
        </w:rPr>
        <w:drawing>
          <wp:inline distT="0" distB="0" distL="0" distR="0" wp14:anchorId="5DBE90AD" wp14:editId="72C11B7B">
            <wp:extent cx="5715798" cy="1629002"/>
            <wp:effectExtent l="0" t="0" r="0" b="9525"/>
            <wp:docPr id="4949" name="Imagen 4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715798" cy="1629002"/>
                    </a:xfrm>
                    <a:prstGeom prst="rect">
                      <a:avLst/>
                    </a:prstGeom>
                  </pic:spPr>
                </pic:pic>
              </a:graphicData>
            </a:graphic>
          </wp:inline>
        </w:drawing>
      </w:r>
    </w:p>
    <w:p w:rsidR="00DD24A3"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Gerencia de Asuntos Legales, en el Memorando CI20233100021193 indica que la estimación del valor, la fecha de salida de recursos y la posibilidad de cualquier reembolso; es impracticable esta información únicamente será realizable al momento de contar con una sentencia (Desfavorable) en firme. La calificación y/o estimación de fecha de egreso aun cuando se registra en el aplicativo </w:t>
      </w:r>
      <w:proofErr w:type="spellStart"/>
      <w:r w:rsidRPr="006F2305">
        <w:rPr>
          <w:rFonts w:ascii="Arial" w:eastAsia="Times New Roman" w:hAnsi="Arial" w:cs="Arial"/>
          <w:sz w:val="24"/>
          <w:szCs w:val="24"/>
          <w:lang w:eastAsia="es-ES"/>
        </w:rPr>
        <w:t>ekogui</w:t>
      </w:r>
      <w:proofErr w:type="spellEnd"/>
      <w:r w:rsidRPr="006F2305">
        <w:rPr>
          <w:rFonts w:ascii="Arial" w:eastAsia="Times New Roman" w:hAnsi="Arial" w:cs="Arial"/>
          <w:sz w:val="24"/>
          <w:szCs w:val="24"/>
          <w:lang w:eastAsia="es-ES"/>
        </w:rPr>
        <w:t xml:space="preserve"> depende directamente de la emisión de la sentencia judicial, de igual manera en virtud de tal </w:t>
      </w:r>
      <w:proofErr w:type="spellStart"/>
      <w:r w:rsidRPr="006F2305">
        <w:rPr>
          <w:rFonts w:ascii="Arial" w:eastAsia="Times New Roman" w:hAnsi="Arial" w:cs="Arial"/>
          <w:sz w:val="24"/>
          <w:szCs w:val="24"/>
          <w:lang w:eastAsia="es-ES"/>
        </w:rPr>
        <w:lastRenderedPageBreak/>
        <w:t>endilgación</w:t>
      </w:r>
      <w:proofErr w:type="spellEnd"/>
      <w:r w:rsidRPr="006F2305">
        <w:rPr>
          <w:rFonts w:ascii="Arial" w:eastAsia="Times New Roman" w:hAnsi="Arial" w:cs="Arial"/>
          <w:sz w:val="24"/>
          <w:szCs w:val="24"/>
          <w:lang w:eastAsia="es-ES"/>
        </w:rPr>
        <w:t xml:space="preserve"> judicial se desprende la iniciación de acciones a nombre de esta entidad para la posible recuperación de recursos.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En mencionado memorando la Gerencia de Asuntos Legales registra el valor de $2.830.603 en Pasivo con sentencia, mientras que, en los Estados Financieros de FRISCO, al 31 de diciembre de 2022, este saldo es de $3.467.210, lo anterior debido a que tres (3) procesos quedaron causados en el año 2022 y el giro se realizó en el 2023.</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-NOTA 25. ACTIVOS Y PASIVOS CONTINGENTES – 25.2. Cuentas de Orden Pasivo Contingente: </w:t>
      </w:r>
      <w:r w:rsidRPr="006F2305">
        <w:rPr>
          <w:rFonts w:ascii="Arial" w:eastAsia="Times New Roman" w:hAnsi="Arial" w:cs="Arial"/>
          <w:sz w:val="24"/>
          <w:szCs w:val="24"/>
          <w:lang w:eastAsia="es-ES"/>
        </w:rPr>
        <w:t>Los saldos a 31 de diciembre comprendían:</w:t>
      </w:r>
    </w:p>
    <w:p w:rsidR="00DD24A3" w:rsidRPr="006F2305" w:rsidRDefault="00DD24A3" w:rsidP="00DD24A3">
      <w:pPr>
        <w:widowControl/>
        <w:autoSpaceDE/>
        <w:autoSpaceDN/>
        <w:ind w:left="-142" w:right="-518"/>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518"/>
        <w:jc w:val="center"/>
        <w:rPr>
          <w:rFonts w:ascii="Arial" w:eastAsia="Times New Roman" w:hAnsi="Arial" w:cs="Arial"/>
          <w:b/>
          <w:sz w:val="24"/>
          <w:szCs w:val="24"/>
          <w:lang w:eastAsia="es-ES"/>
        </w:rPr>
      </w:pPr>
      <w:r w:rsidRPr="006F2305">
        <w:rPr>
          <w:rFonts w:ascii="Arial" w:eastAsia="Times New Roman" w:hAnsi="Arial" w:cs="Arial"/>
          <w:b/>
          <w:noProof/>
          <w:sz w:val="24"/>
          <w:szCs w:val="24"/>
          <w:lang w:val="es-CO" w:eastAsia="es-CO"/>
        </w:rPr>
        <w:drawing>
          <wp:inline distT="0" distB="0" distL="0" distR="0" wp14:anchorId="75482754" wp14:editId="6C19C636">
            <wp:extent cx="5715798" cy="1171739"/>
            <wp:effectExtent l="0" t="0" r="0" b="9525"/>
            <wp:docPr id="4950" name="Imagen 4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715798" cy="1171739"/>
                    </a:xfrm>
                    <a:prstGeom prst="rect">
                      <a:avLst/>
                    </a:prstGeom>
                  </pic:spPr>
                </pic:pic>
              </a:graphicData>
            </a:graphic>
          </wp:inline>
        </w:drawing>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Corresponde a la relación de procesos: Administrativos, Civiles y Laborales en los que la SAE SAS como administradora del FRISCO para la vigencia 2020</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presentó condición de demandada.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El reconocimiento se realizó con fundamento en el informe de procesos jurídicos, suministrado por la Gerencia de Asuntos Legales, quienes han adoptado la metodología de valoración establecida por la Agencia Nacional de Defensa Jurídica del Estado, descrita en la Resolución 353 del 1° de noviembre de 2016.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estimación corresponde a la valoración con fecha diciembre de 2022, informada por la Gerencia de Asuntos Legales en el Memorando 20233100006103.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La estimación del valor, la fecha de salida de recursos y la posibilidad de cualquier reembolso; es impracticable, que será realizable al momento de contar con una sentencia (desfavorable) en firme.</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Civil: Corresponde a 218 Procesos. </w:t>
      </w:r>
      <w:r w:rsidRPr="006F2305">
        <w:rPr>
          <w:rFonts w:ascii="Arial" w:eastAsia="Times New Roman" w:hAnsi="Arial" w:cs="Arial"/>
          <w:sz w:val="24"/>
          <w:szCs w:val="24"/>
          <w:lang w:eastAsia="es-ES"/>
        </w:rPr>
        <w:t xml:space="preserve">La entidad ha venido siendo demandada en procesos en los que se encuentran predios inmersos en procesos de extinción de dominio, la mayoría de ellos son por: a) Deudas de administración (Ejecutivos singulares), b) Expropiaciones, busca la transferencia coactiva de la propiedad privada de un predio desde su titular al Estado, c) Pertenencia, pretender adquirir el dominio en virtud de la prescripción adquisitiva de dominio, d) Servidumbres, gravamen impuesto sobre un inmueble en beneficio de otro perteneciente a distinto dueño, e) Restituciones, decretadas por la terminación del contrato de arrendamiento y la entrega judicial del inmueble.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Laboral: Corresponde a 283 Procesos. </w:t>
      </w:r>
      <w:r w:rsidRPr="006F2305">
        <w:rPr>
          <w:rFonts w:ascii="Arial" w:eastAsia="Times New Roman" w:hAnsi="Arial" w:cs="Arial"/>
          <w:sz w:val="24"/>
          <w:szCs w:val="24"/>
          <w:lang w:eastAsia="es-ES"/>
        </w:rPr>
        <w:t xml:space="preserve">Se registran procesos ordinarios laborales y ejecutivos laborales, cuya mayoría de pretensiones se derivan de la relación contractual con Sociedades Activas o en Liquidación que se encuentran bajo la administración de la Sociedad de Activos Especiales. </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b/>
          <w:sz w:val="24"/>
          <w:szCs w:val="24"/>
          <w:lang w:eastAsia="es-ES"/>
        </w:rPr>
        <w:t xml:space="preserve">Administrativos: Corresponde a 262 Procesos. </w:t>
      </w:r>
      <w:r w:rsidRPr="006F2305">
        <w:rPr>
          <w:rFonts w:ascii="Arial" w:eastAsia="Times New Roman" w:hAnsi="Arial" w:cs="Arial"/>
          <w:sz w:val="24"/>
          <w:szCs w:val="24"/>
          <w:lang w:eastAsia="es-ES"/>
        </w:rPr>
        <w:t xml:space="preserve">El número de procesos reportados corresponde a procesos de reparación directa por reclamación de los perjuicios derivados de pérdida o daño de bienes en depósito o incautados; contractuales por incumplimiento de contratos de promesa de compraventa y Nulidad y Restablecimiento del Derecho en la que se demandan los actos </w:t>
      </w:r>
      <w:r w:rsidRPr="006F2305">
        <w:rPr>
          <w:rFonts w:ascii="Arial" w:eastAsia="Times New Roman" w:hAnsi="Arial" w:cs="Arial"/>
          <w:sz w:val="24"/>
          <w:szCs w:val="24"/>
          <w:lang w:eastAsia="es-ES"/>
        </w:rPr>
        <w:lastRenderedPageBreak/>
        <w:t>administrativos por perdida de posesión o tenencia de bien, controversias contractuales y acciones populares para la protección de derechos e intereses colectivos.</w:t>
      </w: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r w:rsidRPr="006F2305">
        <w:rPr>
          <w:rFonts w:ascii="Arial" w:eastAsia="Times New Roman" w:hAnsi="Arial" w:cs="Arial"/>
          <w:b/>
          <w:sz w:val="28"/>
          <w:szCs w:val="28"/>
          <w:lang w:eastAsia="es-ES"/>
        </w:rPr>
        <w:t>-</w:t>
      </w:r>
      <w:r w:rsidRPr="006F2305">
        <w:rPr>
          <w:rFonts w:ascii="Arial" w:eastAsia="Calibri" w:hAnsi="Arial" w:cs="Arial"/>
          <w:b/>
          <w:sz w:val="28"/>
          <w:szCs w:val="28"/>
          <w:lang w:eastAsia="es-ES"/>
        </w:rPr>
        <w:t>Una vez revisado el informe de saldos y movimientos, se encontraron las siguientes cuentas con sus respectivos saldos a 31 de diciembre de 2022 así:</w:t>
      </w: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p>
    <w:tbl>
      <w:tblPr>
        <w:tblStyle w:val="Tablaconcuadrcula67"/>
        <w:tblW w:w="10627" w:type="dxa"/>
        <w:tblInd w:w="-142" w:type="dxa"/>
        <w:tblLook w:val="04A0" w:firstRow="1" w:lastRow="0" w:firstColumn="1" w:lastColumn="0" w:noHBand="0" w:noVBand="1"/>
      </w:tblPr>
      <w:tblGrid>
        <w:gridCol w:w="1689"/>
        <w:gridCol w:w="6741"/>
        <w:gridCol w:w="2197"/>
      </w:tblGrid>
      <w:tr w:rsidR="00DD24A3" w:rsidRPr="006F2305" w:rsidTr="00DD24A3">
        <w:tc>
          <w:tcPr>
            <w:tcW w:w="1689" w:type="dxa"/>
          </w:tcPr>
          <w:p w:rsidR="00DD24A3" w:rsidRPr="006F2305" w:rsidRDefault="00DD24A3" w:rsidP="00DD24A3">
            <w:pPr>
              <w:widowControl/>
              <w:autoSpaceDE/>
              <w:autoSpaceDN/>
              <w:jc w:val="center"/>
              <w:rPr>
                <w:rFonts w:ascii="Arial" w:eastAsia="Times New Roman" w:hAnsi="Arial" w:cs="Arial"/>
                <w:b/>
                <w:sz w:val="20"/>
                <w:szCs w:val="20"/>
                <w:lang w:val="es-ES_tradnl" w:eastAsia="es-ES"/>
              </w:rPr>
            </w:pPr>
            <w:r w:rsidRPr="006F2305">
              <w:rPr>
                <w:rFonts w:ascii="Arial" w:eastAsia="Times New Roman" w:hAnsi="Arial" w:cs="Arial"/>
                <w:b/>
                <w:sz w:val="20"/>
                <w:szCs w:val="20"/>
                <w:lang w:val="es-ES_tradnl" w:eastAsia="es-ES"/>
              </w:rPr>
              <w:t>CÓDIGO</w:t>
            </w:r>
          </w:p>
        </w:tc>
        <w:tc>
          <w:tcPr>
            <w:tcW w:w="6741" w:type="dxa"/>
          </w:tcPr>
          <w:p w:rsidR="00DD24A3" w:rsidRPr="006F2305" w:rsidRDefault="00DD24A3" w:rsidP="00DD24A3">
            <w:pPr>
              <w:widowControl/>
              <w:autoSpaceDE/>
              <w:autoSpaceDN/>
              <w:jc w:val="center"/>
              <w:rPr>
                <w:rFonts w:ascii="Arial" w:eastAsia="Times New Roman" w:hAnsi="Arial" w:cs="Arial"/>
                <w:b/>
                <w:sz w:val="20"/>
                <w:szCs w:val="20"/>
                <w:lang w:val="es-ES_tradnl" w:eastAsia="es-ES"/>
              </w:rPr>
            </w:pPr>
            <w:r w:rsidRPr="006F2305">
              <w:rPr>
                <w:rFonts w:ascii="Arial" w:eastAsia="Times New Roman" w:hAnsi="Arial" w:cs="Arial"/>
                <w:b/>
                <w:sz w:val="20"/>
                <w:szCs w:val="20"/>
                <w:lang w:val="es-ES_tradnl" w:eastAsia="es-ES"/>
              </w:rPr>
              <w:t>NOMBRE CUENTA</w:t>
            </w:r>
          </w:p>
        </w:tc>
        <w:tc>
          <w:tcPr>
            <w:tcW w:w="2197" w:type="dxa"/>
          </w:tcPr>
          <w:p w:rsidR="00DD24A3" w:rsidRPr="006F2305" w:rsidRDefault="00DD24A3" w:rsidP="00DD24A3">
            <w:pPr>
              <w:widowControl/>
              <w:autoSpaceDE/>
              <w:autoSpaceDN/>
              <w:jc w:val="center"/>
              <w:rPr>
                <w:rFonts w:ascii="Arial" w:eastAsia="Times New Roman" w:hAnsi="Arial" w:cs="Arial"/>
                <w:b/>
                <w:sz w:val="20"/>
                <w:szCs w:val="20"/>
                <w:lang w:val="es-ES_tradnl" w:eastAsia="es-ES"/>
              </w:rPr>
            </w:pPr>
            <w:r w:rsidRPr="006F2305">
              <w:rPr>
                <w:rFonts w:ascii="Arial" w:eastAsia="Times New Roman" w:hAnsi="Arial" w:cs="Arial"/>
                <w:b/>
                <w:sz w:val="20"/>
                <w:szCs w:val="20"/>
                <w:lang w:val="es-ES_tradnl" w:eastAsia="es-ES"/>
              </w:rPr>
              <w:t xml:space="preserve">SALDO A </w:t>
            </w:r>
          </w:p>
          <w:p w:rsidR="00DD24A3" w:rsidRPr="006F2305" w:rsidRDefault="00DD24A3" w:rsidP="00DD24A3">
            <w:pPr>
              <w:widowControl/>
              <w:autoSpaceDE/>
              <w:autoSpaceDN/>
              <w:jc w:val="center"/>
              <w:rPr>
                <w:rFonts w:ascii="Arial" w:eastAsia="Times New Roman" w:hAnsi="Arial" w:cs="Arial"/>
                <w:b/>
                <w:sz w:val="20"/>
                <w:szCs w:val="20"/>
                <w:lang w:val="es-ES_tradnl" w:eastAsia="es-ES"/>
              </w:rPr>
            </w:pPr>
            <w:r w:rsidRPr="006F2305">
              <w:rPr>
                <w:rFonts w:ascii="Arial" w:eastAsia="Times New Roman" w:hAnsi="Arial" w:cs="Arial"/>
                <w:b/>
                <w:sz w:val="20"/>
                <w:szCs w:val="20"/>
                <w:lang w:val="es-ES_tradnl" w:eastAsia="es-ES"/>
              </w:rPr>
              <w:t>31/12/2022</w:t>
            </w:r>
          </w:p>
          <w:p w:rsidR="00DD24A3" w:rsidRPr="006F2305" w:rsidRDefault="00DD24A3" w:rsidP="00DD24A3">
            <w:pPr>
              <w:widowControl/>
              <w:autoSpaceDE/>
              <w:autoSpaceDN/>
              <w:jc w:val="center"/>
              <w:rPr>
                <w:rFonts w:ascii="Arial" w:eastAsia="Times New Roman" w:hAnsi="Arial" w:cs="Arial"/>
                <w:b/>
                <w:sz w:val="20"/>
                <w:szCs w:val="20"/>
                <w:lang w:val="es-ES_tradnl" w:eastAsia="es-ES"/>
              </w:rPr>
            </w:pPr>
          </w:p>
        </w:tc>
      </w:tr>
      <w:tr w:rsidR="00DD24A3" w:rsidRPr="006F2305" w:rsidTr="00DD24A3">
        <w:tc>
          <w:tcPr>
            <w:tcW w:w="1689" w:type="dxa"/>
          </w:tcPr>
          <w:p w:rsidR="00DD24A3" w:rsidRPr="006F2305" w:rsidRDefault="00DD24A3" w:rsidP="00DD24A3">
            <w:pPr>
              <w:widowControl/>
              <w:autoSpaceDE/>
              <w:autoSpaceDN/>
              <w:jc w:val="center"/>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121600</w:t>
            </w:r>
          </w:p>
        </w:tc>
        <w:tc>
          <w:tcPr>
            <w:tcW w:w="6741" w:type="dxa"/>
          </w:tcPr>
          <w:p w:rsidR="00DD24A3" w:rsidRPr="006F2305" w:rsidRDefault="00DD24A3" w:rsidP="00DD24A3">
            <w:pPr>
              <w:widowControl/>
              <w:autoSpaceDE/>
              <w:autoSpaceDN/>
              <w:jc w:val="both"/>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Inversiones en entidades en liquidación</w:t>
            </w:r>
          </w:p>
        </w:tc>
        <w:tc>
          <w:tcPr>
            <w:tcW w:w="2197" w:type="dxa"/>
          </w:tcPr>
          <w:p w:rsidR="00DD24A3" w:rsidRPr="006F2305" w:rsidRDefault="00DD24A3" w:rsidP="00DD24A3">
            <w:pPr>
              <w:widowControl/>
              <w:autoSpaceDE/>
              <w:autoSpaceDN/>
              <w:ind w:right="34"/>
              <w:jc w:val="right"/>
              <w:rPr>
                <w:rFonts w:ascii="Arial" w:eastAsia="Calibri" w:hAnsi="Arial" w:cs="Arial"/>
                <w:b/>
                <w:sz w:val="20"/>
                <w:szCs w:val="20"/>
                <w:lang w:eastAsia="es-ES"/>
              </w:rPr>
            </w:pPr>
            <w:r w:rsidRPr="006F2305">
              <w:rPr>
                <w:rFonts w:ascii="Arial" w:eastAsia="Calibri" w:hAnsi="Arial" w:cs="Arial"/>
                <w:b/>
                <w:sz w:val="20"/>
                <w:szCs w:val="20"/>
                <w:lang w:eastAsia="es-ES"/>
              </w:rPr>
              <w:t>597.302.338.130,00</w:t>
            </w:r>
          </w:p>
        </w:tc>
      </w:tr>
      <w:tr w:rsidR="00DD24A3" w:rsidRPr="006F2305" w:rsidTr="00DD24A3">
        <w:tc>
          <w:tcPr>
            <w:tcW w:w="1689" w:type="dxa"/>
          </w:tcPr>
          <w:p w:rsidR="00DD24A3" w:rsidRPr="006F2305" w:rsidRDefault="00DD24A3" w:rsidP="00DD24A3">
            <w:pPr>
              <w:widowControl/>
              <w:autoSpaceDE/>
              <w:autoSpaceDN/>
              <w:jc w:val="center"/>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138500</w:t>
            </w:r>
          </w:p>
        </w:tc>
        <w:tc>
          <w:tcPr>
            <w:tcW w:w="6741" w:type="dxa"/>
          </w:tcPr>
          <w:p w:rsidR="00DD24A3" w:rsidRPr="006F2305" w:rsidRDefault="00DD24A3" w:rsidP="00DD24A3">
            <w:pPr>
              <w:widowControl/>
              <w:autoSpaceDE/>
              <w:autoSpaceDN/>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Cuentas por cobrar de difícil recaudo</w:t>
            </w:r>
          </w:p>
        </w:tc>
        <w:tc>
          <w:tcPr>
            <w:tcW w:w="2197" w:type="dxa"/>
          </w:tcPr>
          <w:p w:rsidR="00DD24A3" w:rsidRPr="006F2305" w:rsidRDefault="00DD24A3" w:rsidP="00DD24A3">
            <w:pPr>
              <w:widowControl/>
              <w:autoSpaceDE/>
              <w:autoSpaceDN/>
              <w:ind w:right="34"/>
              <w:jc w:val="right"/>
              <w:rPr>
                <w:rFonts w:ascii="Arial" w:eastAsia="Calibri" w:hAnsi="Arial" w:cs="Arial"/>
                <w:b/>
                <w:sz w:val="20"/>
                <w:szCs w:val="20"/>
                <w:lang w:eastAsia="es-ES"/>
              </w:rPr>
            </w:pPr>
            <w:r w:rsidRPr="006F2305">
              <w:rPr>
                <w:rFonts w:ascii="Arial" w:eastAsia="Calibri" w:hAnsi="Arial" w:cs="Arial"/>
                <w:b/>
                <w:sz w:val="20"/>
                <w:szCs w:val="20"/>
                <w:lang w:eastAsia="es-ES"/>
              </w:rPr>
              <w:t>59.376.632.359,00</w:t>
            </w:r>
          </w:p>
        </w:tc>
      </w:tr>
      <w:tr w:rsidR="00DD24A3" w:rsidRPr="006F2305" w:rsidTr="00DD24A3">
        <w:tc>
          <w:tcPr>
            <w:tcW w:w="1689" w:type="dxa"/>
          </w:tcPr>
          <w:p w:rsidR="00DD24A3" w:rsidRPr="006F2305" w:rsidRDefault="00DD24A3" w:rsidP="00DD24A3">
            <w:pPr>
              <w:widowControl/>
              <w:autoSpaceDE/>
              <w:autoSpaceDN/>
              <w:jc w:val="center"/>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138600</w:t>
            </w:r>
          </w:p>
        </w:tc>
        <w:tc>
          <w:tcPr>
            <w:tcW w:w="6741" w:type="dxa"/>
          </w:tcPr>
          <w:p w:rsidR="00DD24A3" w:rsidRPr="006F2305" w:rsidRDefault="00DD24A3" w:rsidP="00DD24A3">
            <w:pPr>
              <w:widowControl/>
              <w:autoSpaceDE/>
              <w:autoSpaceDN/>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Deterioro de las cuentas por cobrar</w:t>
            </w:r>
          </w:p>
        </w:tc>
        <w:tc>
          <w:tcPr>
            <w:tcW w:w="2197" w:type="dxa"/>
          </w:tcPr>
          <w:p w:rsidR="00DD24A3" w:rsidRPr="006F2305" w:rsidRDefault="00DD24A3" w:rsidP="00DD24A3">
            <w:pPr>
              <w:widowControl/>
              <w:autoSpaceDE/>
              <w:autoSpaceDN/>
              <w:ind w:right="34"/>
              <w:jc w:val="right"/>
              <w:rPr>
                <w:rFonts w:ascii="Arial" w:eastAsia="Calibri" w:hAnsi="Arial" w:cs="Arial"/>
                <w:b/>
                <w:sz w:val="20"/>
                <w:szCs w:val="20"/>
                <w:lang w:eastAsia="es-ES"/>
              </w:rPr>
            </w:pPr>
            <w:r w:rsidRPr="006F2305">
              <w:rPr>
                <w:rFonts w:ascii="Arial" w:eastAsia="Calibri" w:hAnsi="Arial" w:cs="Arial"/>
                <w:b/>
                <w:sz w:val="20"/>
                <w:szCs w:val="20"/>
                <w:lang w:eastAsia="es-ES"/>
              </w:rPr>
              <w:t>(92.978.117.679,00)</w:t>
            </w:r>
          </w:p>
        </w:tc>
      </w:tr>
      <w:tr w:rsidR="00DD24A3" w:rsidRPr="006F2305" w:rsidTr="00DD24A3">
        <w:tc>
          <w:tcPr>
            <w:tcW w:w="1689" w:type="dxa"/>
          </w:tcPr>
          <w:p w:rsidR="00DD24A3" w:rsidRPr="006F2305" w:rsidRDefault="00DD24A3" w:rsidP="00DD24A3">
            <w:pPr>
              <w:widowControl/>
              <w:autoSpaceDE/>
              <w:autoSpaceDN/>
              <w:jc w:val="center"/>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190603</w:t>
            </w:r>
          </w:p>
        </w:tc>
        <w:tc>
          <w:tcPr>
            <w:tcW w:w="6741" w:type="dxa"/>
          </w:tcPr>
          <w:p w:rsidR="00DD24A3" w:rsidRPr="006F2305" w:rsidRDefault="00DD24A3" w:rsidP="00DD24A3">
            <w:pPr>
              <w:widowControl/>
              <w:autoSpaceDE/>
              <w:autoSpaceDN/>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Avances para viáticos y gastos de viaje</w:t>
            </w:r>
          </w:p>
        </w:tc>
        <w:tc>
          <w:tcPr>
            <w:tcW w:w="2197" w:type="dxa"/>
          </w:tcPr>
          <w:p w:rsidR="00DD24A3" w:rsidRPr="006F2305" w:rsidRDefault="00DD24A3" w:rsidP="00DD24A3">
            <w:pPr>
              <w:widowControl/>
              <w:autoSpaceDE/>
              <w:autoSpaceDN/>
              <w:ind w:right="34"/>
              <w:jc w:val="right"/>
              <w:rPr>
                <w:rFonts w:ascii="Arial" w:eastAsia="Calibri" w:hAnsi="Arial" w:cs="Arial"/>
                <w:b/>
                <w:sz w:val="20"/>
                <w:szCs w:val="20"/>
                <w:lang w:eastAsia="es-ES"/>
              </w:rPr>
            </w:pPr>
            <w:r w:rsidRPr="006F2305">
              <w:rPr>
                <w:rFonts w:ascii="Arial" w:eastAsia="Calibri" w:hAnsi="Arial" w:cs="Arial"/>
                <w:b/>
                <w:sz w:val="20"/>
                <w:szCs w:val="20"/>
                <w:lang w:eastAsia="es-ES"/>
              </w:rPr>
              <w:t>22.299.620,00</w:t>
            </w:r>
          </w:p>
        </w:tc>
      </w:tr>
      <w:tr w:rsidR="00DD24A3" w:rsidRPr="006F2305" w:rsidTr="00DD24A3">
        <w:tc>
          <w:tcPr>
            <w:tcW w:w="1689" w:type="dxa"/>
          </w:tcPr>
          <w:p w:rsidR="00DD24A3" w:rsidRPr="006F2305" w:rsidRDefault="00DD24A3" w:rsidP="00DD24A3">
            <w:pPr>
              <w:widowControl/>
              <w:autoSpaceDE/>
              <w:autoSpaceDN/>
              <w:jc w:val="center"/>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240720</w:t>
            </w:r>
          </w:p>
        </w:tc>
        <w:tc>
          <w:tcPr>
            <w:tcW w:w="6741" w:type="dxa"/>
          </w:tcPr>
          <w:p w:rsidR="00DD24A3" w:rsidRPr="006F2305" w:rsidRDefault="00DD24A3" w:rsidP="00DD24A3">
            <w:pPr>
              <w:widowControl/>
              <w:autoSpaceDE/>
              <w:autoSpaceDN/>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Recaudos por clasificar</w:t>
            </w:r>
          </w:p>
        </w:tc>
        <w:tc>
          <w:tcPr>
            <w:tcW w:w="2197" w:type="dxa"/>
          </w:tcPr>
          <w:p w:rsidR="00DD24A3" w:rsidRPr="006F2305" w:rsidRDefault="00DD24A3" w:rsidP="00DD24A3">
            <w:pPr>
              <w:widowControl/>
              <w:autoSpaceDE/>
              <w:autoSpaceDN/>
              <w:ind w:right="34"/>
              <w:jc w:val="right"/>
              <w:rPr>
                <w:rFonts w:ascii="Arial" w:eastAsia="Calibri" w:hAnsi="Arial" w:cs="Arial"/>
                <w:b/>
                <w:sz w:val="20"/>
                <w:szCs w:val="20"/>
                <w:lang w:eastAsia="es-ES"/>
              </w:rPr>
            </w:pPr>
            <w:r w:rsidRPr="006F2305">
              <w:rPr>
                <w:rFonts w:ascii="Arial" w:eastAsia="Calibri" w:hAnsi="Arial" w:cs="Arial"/>
                <w:b/>
                <w:sz w:val="20"/>
                <w:szCs w:val="20"/>
                <w:lang w:eastAsia="es-ES"/>
              </w:rPr>
              <w:t>28.857.831.662,00</w:t>
            </w:r>
          </w:p>
        </w:tc>
      </w:tr>
      <w:tr w:rsidR="00DD24A3" w:rsidRPr="006F2305" w:rsidTr="00DD24A3">
        <w:tc>
          <w:tcPr>
            <w:tcW w:w="1689" w:type="dxa"/>
          </w:tcPr>
          <w:p w:rsidR="00DD24A3" w:rsidRPr="006F2305" w:rsidRDefault="00DD24A3" w:rsidP="00DD24A3">
            <w:pPr>
              <w:widowControl/>
              <w:autoSpaceDE/>
              <w:autoSpaceDN/>
              <w:jc w:val="center"/>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912000</w:t>
            </w:r>
          </w:p>
        </w:tc>
        <w:tc>
          <w:tcPr>
            <w:tcW w:w="6741" w:type="dxa"/>
          </w:tcPr>
          <w:p w:rsidR="00DD24A3" w:rsidRPr="006F2305" w:rsidRDefault="00DD24A3" w:rsidP="00DD24A3">
            <w:pPr>
              <w:widowControl/>
              <w:autoSpaceDE/>
              <w:autoSpaceDN/>
              <w:jc w:val="both"/>
              <w:rPr>
                <w:rFonts w:ascii="Arial" w:eastAsia="Times New Roman" w:hAnsi="Arial" w:cs="Arial"/>
                <w:sz w:val="20"/>
                <w:szCs w:val="20"/>
                <w:lang w:val="es-ES_tradnl" w:eastAsia="es-ES"/>
              </w:rPr>
            </w:pPr>
            <w:r w:rsidRPr="006F2305">
              <w:rPr>
                <w:rFonts w:ascii="Arial" w:eastAsia="Times New Roman" w:hAnsi="Arial" w:cs="Arial"/>
                <w:sz w:val="20"/>
                <w:szCs w:val="20"/>
                <w:lang w:val="es-ES_tradnl" w:eastAsia="es-ES"/>
              </w:rPr>
              <w:t>Litigios y mecanismos alternativos de solución de conflictos</w:t>
            </w:r>
          </w:p>
        </w:tc>
        <w:tc>
          <w:tcPr>
            <w:tcW w:w="2197" w:type="dxa"/>
          </w:tcPr>
          <w:p w:rsidR="00DD24A3" w:rsidRPr="006F2305" w:rsidRDefault="00DD24A3" w:rsidP="00DD24A3">
            <w:pPr>
              <w:widowControl/>
              <w:autoSpaceDE/>
              <w:autoSpaceDN/>
              <w:ind w:right="34"/>
              <w:jc w:val="right"/>
              <w:rPr>
                <w:rFonts w:ascii="Arial" w:eastAsia="Calibri" w:hAnsi="Arial" w:cs="Arial"/>
                <w:b/>
                <w:sz w:val="20"/>
                <w:szCs w:val="20"/>
                <w:lang w:eastAsia="es-ES"/>
              </w:rPr>
            </w:pPr>
            <w:r w:rsidRPr="006F2305">
              <w:rPr>
                <w:rFonts w:ascii="Arial" w:eastAsia="Calibri" w:hAnsi="Arial" w:cs="Arial"/>
                <w:b/>
                <w:sz w:val="20"/>
                <w:szCs w:val="20"/>
                <w:lang w:eastAsia="es-ES"/>
              </w:rPr>
              <w:t>1.627.338.338.639,00</w:t>
            </w:r>
          </w:p>
        </w:tc>
      </w:tr>
    </w:tbl>
    <w:p w:rsidR="00DD24A3" w:rsidRPr="006F2305" w:rsidRDefault="00DD24A3" w:rsidP="00DD24A3">
      <w:pPr>
        <w:widowControl/>
        <w:autoSpaceDE/>
        <w:autoSpaceDN/>
        <w:ind w:left="-142" w:right="-518"/>
        <w:jc w:val="both"/>
        <w:rPr>
          <w:rFonts w:ascii="Arial" w:eastAsia="Calibri" w:hAnsi="Arial" w:cs="Arial"/>
          <w:b/>
          <w:sz w:val="28"/>
          <w:szCs w:val="28"/>
          <w:lang w:eastAsia="es-ES"/>
        </w:rPr>
      </w:pPr>
    </w:p>
    <w:p w:rsidR="00DD24A3" w:rsidRPr="006F2305" w:rsidRDefault="00DD24A3" w:rsidP="00DD24A3">
      <w:pPr>
        <w:widowControl/>
        <w:autoSpaceDE/>
        <w:autoSpaceDN/>
        <w:ind w:left="-142" w:right="-518"/>
        <w:jc w:val="both"/>
        <w:rPr>
          <w:rFonts w:ascii="Arial" w:eastAsia="Calibri" w:hAnsi="Arial" w:cs="Arial"/>
          <w:sz w:val="24"/>
          <w:szCs w:val="24"/>
          <w:lang w:eastAsia="es-ES"/>
        </w:rPr>
      </w:pPr>
      <w:r w:rsidRPr="006F2305">
        <w:rPr>
          <w:rFonts w:ascii="Arial" w:eastAsia="Calibri" w:hAnsi="Arial" w:cs="Arial"/>
          <w:b/>
          <w:sz w:val="24"/>
          <w:szCs w:val="24"/>
          <w:lang w:eastAsia="es-ES"/>
        </w:rPr>
        <w:t xml:space="preserve">-CORRECCIÓN DE ERRORES DEL PERIODO CONTABLE ANTERIOR. </w:t>
      </w:r>
      <w:r w:rsidRPr="006F2305">
        <w:rPr>
          <w:rFonts w:ascii="Arial" w:eastAsia="Calibri" w:hAnsi="Arial" w:cs="Arial"/>
          <w:sz w:val="24"/>
          <w:szCs w:val="24"/>
          <w:lang w:eastAsia="es-ES"/>
        </w:rPr>
        <w:t>Durante la vigencia fiscal 2022, el FRISCO corrigió errores de periodos anteriores, siendo preciso mencionar, que el impacto de dicha corrección se ve reflejado en el resultado del ejercicio fiscal de la vigencia 2022. El impacto fue reconocido aplicando la normatividad de la Contaduría General de la Nación</w:t>
      </w:r>
      <w:r>
        <w:rPr>
          <w:rFonts w:ascii="Arial" w:eastAsia="Calibri" w:hAnsi="Arial" w:cs="Arial"/>
          <w:sz w:val="24"/>
          <w:szCs w:val="24"/>
          <w:lang w:eastAsia="es-ES"/>
        </w:rPr>
        <w:t>,</w:t>
      </w:r>
      <w:r w:rsidRPr="006F2305">
        <w:rPr>
          <w:rFonts w:ascii="Arial" w:eastAsia="Calibri" w:hAnsi="Arial" w:cs="Arial"/>
          <w:sz w:val="24"/>
          <w:szCs w:val="24"/>
          <w:lang w:eastAsia="es-ES"/>
        </w:rPr>
        <w:t xml:space="preserve"> en adelante CGN según el Marco Conceptual para la </w:t>
      </w:r>
      <w:r>
        <w:rPr>
          <w:rFonts w:ascii="Arial" w:eastAsia="Calibri" w:hAnsi="Arial" w:cs="Arial"/>
          <w:sz w:val="24"/>
          <w:szCs w:val="24"/>
          <w:lang w:eastAsia="es-ES"/>
        </w:rPr>
        <w:t>P</w:t>
      </w:r>
      <w:r w:rsidRPr="006F2305">
        <w:rPr>
          <w:rFonts w:ascii="Arial" w:eastAsia="Calibri" w:hAnsi="Arial" w:cs="Arial"/>
          <w:sz w:val="24"/>
          <w:szCs w:val="24"/>
          <w:lang w:eastAsia="es-ES"/>
        </w:rPr>
        <w:t xml:space="preserve">reparación y </w:t>
      </w:r>
      <w:r>
        <w:rPr>
          <w:rFonts w:ascii="Arial" w:eastAsia="Calibri" w:hAnsi="Arial" w:cs="Arial"/>
          <w:sz w:val="24"/>
          <w:szCs w:val="24"/>
          <w:lang w:eastAsia="es-ES"/>
        </w:rPr>
        <w:t>P</w:t>
      </w:r>
      <w:r w:rsidRPr="006F2305">
        <w:rPr>
          <w:rFonts w:ascii="Arial" w:eastAsia="Calibri" w:hAnsi="Arial" w:cs="Arial"/>
          <w:sz w:val="24"/>
          <w:szCs w:val="24"/>
          <w:lang w:eastAsia="es-ES"/>
        </w:rPr>
        <w:t>resentación de Información Financiera de las empresas que no cotizan en el mercado de valores y que no captan ni administran ahorro público.</w:t>
      </w:r>
    </w:p>
    <w:p w:rsidR="00DD24A3" w:rsidRPr="006F2305" w:rsidRDefault="00DD24A3" w:rsidP="00DD24A3">
      <w:pPr>
        <w:widowControl/>
        <w:autoSpaceDE/>
        <w:autoSpaceDN/>
        <w:ind w:left="-142" w:right="-518"/>
        <w:jc w:val="both"/>
        <w:rPr>
          <w:rFonts w:ascii="Arial" w:eastAsia="Calibri" w:hAnsi="Arial" w:cs="Arial"/>
          <w:sz w:val="24"/>
          <w:szCs w:val="24"/>
          <w:lang w:eastAsia="es-ES"/>
        </w:rPr>
      </w:pPr>
    </w:p>
    <w:p w:rsidR="00DD24A3" w:rsidRPr="006F2305" w:rsidRDefault="00DD24A3" w:rsidP="00DD24A3">
      <w:pPr>
        <w:widowControl/>
        <w:autoSpaceDE/>
        <w:autoSpaceDN/>
        <w:ind w:left="-142" w:right="-518"/>
        <w:jc w:val="both"/>
        <w:rPr>
          <w:rFonts w:ascii="Arial" w:eastAsia="Calibri" w:hAnsi="Arial" w:cs="Arial"/>
          <w:sz w:val="24"/>
          <w:szCs w:val="24"/>
          <w:lang w:eastAsia="es-ES"/>
        </w:rPr>
      </w:pPr>
      <w:r w:rsidRPr="006F2305">
        <w:rPr>
          <w:rFonts w:ascii="Arial" w:eastAsia="Calibri" w:hAnsi="Arial" w:cs="Arial"/>
          <w:b/>
          <w:sz w:val="24"/>
          <w:szCs w:val="24"/>
          <w:lang w:eastAsia="es-ES"/>
        </w:rPr>
        <w:t>NOTA:</w:t>
      </w:r>
      <w:r w:rsidRPr="006F2305">
        <w:rPr>
          <w:rFonts w:ascii="Arial" w:eastAsia="Calibri" w:hAnsi="Arial" w:cs="Arial"/>
          <w:sz w:val="24"/>
          <w:szCs w:val="24"/>
          <w:lang w:eastAsia="es-ES"/>
        </w:rPr>
        <w:t xml:space="preserve"> El FRISCO no informa el monto de estas correcciones.</w:t>
      </w: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r w:rsidRPr="006F2305">
        <w:rPr>
          <w:rFonts w:ascii="Arial" w:eastAsia="Calibri" w:hAnsi="Arial" w:cs="Arial"/>
          <w:b/>
          <w:sz w:val="24"/>
          <w:szCs w:val="24"/>
          <w:lang w:eastAsia="es-ES"/>
        </w:rPr>
        <w:t xml:space="preserve">-DEPURACIÓN DE OPERACIONES RECÍPROCAS. </w:t>
      </w:r>
      <w:r w:rsidRPr="006F2305">
        <w:rPr>
          <w:rFonts w:ascii="Arial" w:eastAsia="Calibri" w:hAnsi="Arial" w:cs="Arial"/>
          <w:sz w:val="24"/>
          <w:szCs w:val="24"/>
          <w:lang w:eastAsia="es-ES"/>
        </w:rPr>
        <w:t>Se informa que las Operaciones Recíprocas a diciembre del año 2022, fueron conciliadas, sin embargo, el reporte de esas operaciones presenta partidas conciliatorias con algunas entidades del Estado, en donde se realizó la gestión de cada una de ellas, entre otras las diferencias que se generan por devengo y causación, teniendo en cuenta que no reportan la operación recíproca con el código institucional del FRISCO.</w:t>
      </w: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r w:rsidRPr="006F2305">
        <w:rPr>
          <w:rFonts w:ascii="Arial" w:eastAsia="Calibri" w:hAnsi="Arial" w:cs="Arial"/>
          <w:b/>
          <w:sz w:val="28"/>
          <w:szCs w:val="28"/>
          <w:lang w:eastAsia="es-ES"/>
        </w:rPr>
        <w:t>B.- RESULTADO DE LA AUTOEVALUACIÓN DEL ESTADO DEL SISTEMA DE CONTROL INTERNO CONTABLE A 31 DE DICIEMBRE DE 2022:</w:t>
      </w: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p>
    <w:p w:rsidR="00DD24A3" w:rsidRPr="006F2305" w:rsidRDefault="00DD24A3" w:rsidP="00DD24A3">
      <w:pPr>
        <w:widowControl/>
        <w:autoSpaceDE/>
        <w:autoSpaceDN/>
        <w:ind w:left="-142" w:right="-518"/>
        <w:jc w:val="both"/>
        <w:rPr>
          <w:rFonts w:ascii="Arial" w:eastAsia="Calibri" w:hAnsi="Arial" w:cs="Arial"/>
          <w:b/>
          <w:sz w:val="28"/>
          <w:szCs w:val="28"/>
          <w:u w:val="single"/>
          <w:lang w:eastAsia="es-ES"/>
        </w:rPr>
      </w:pPr>
      <w:proofErr w:type="spellStart"/>
      <w:r w:rsidRPr="006F2305">
        <w:rPr>
          <w:rFonts w:ascii="Arial" w:eastAsia="Calibri" w:hAnsi="Arial" w:cs="Arial"/>
          <w:b/>
          <w:sz w:val="28"/>
          <w:szCs w:val="28"/>
          <w:lang w:eastAsia="es-ES"/>
        </w:rPr>
        <w:t>Autocalificación</w:t>
      </w:r>
      <w:proofErr w:type="spellEnd"/>
      <w:r w:rsidRPr="006F2305">
        <w:rPr>
          <w:rFonts w:ascii="Arial" w:eastAsia="Calibri" w:hAnsi="Arial" w:cs="Arial"/>
          <w:b/>
          <w:sz w:val="28"/>
          <w:szCs w:val="28"/>
          <w:lang w:eastAsia="es-ES"/>
        </w:rPr>
        <w:t xml:space="preserve"> obtenida: 4.61.</w:t>
      </w:r>
    </w:p>
    <w:p w:rsidR="00DD24A3" w:rsidRPr="006F2305" w:rsidRDefault="00DD24A3" w:rsidP="00DD24A3">
      <w:pPr>
        <w:widowControl/>
        <w:autoSpaceDE/>
        <w:autoSpaceDN/>
        <w:ind w:left="-142" w:right="-518"/>
        <w:jc w:val="both"/>
        <w:rPr>
          <w:rFonts w:ascii="Arial" w:eastAsia="Calibri" w:hAnsi="Arial" w:cs="Arial"/>
          <w:b/>
          <w:sz w:val="28"/>
          <w:szCs w:val="28"/>
          <w:u w:val="single"/>
          <w:lang w:eastAsia="es-ES"/>
        </w:rPr>
      </w:pP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r w:rsidRPr="006F2305">
        <w:rPr>
          <w:rFonts w:ascii="Arial" w:eastAsia="Calibri" w:hAnsi="Arial" w:cs="Arial"/>
          <w:b/>
          <w:sz w:val="28"/>
          <w:szCs w:val="28"/>
          <w:lang w:eastAsia="es-ES"/>
        </w:rPr>
        <w:t>Debilidades:</w:t>
      </w: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-Resultado de la evaluación efectuada se presentan a continuación las siguientes debilidades aplicables de manera general a SAE y FRISCO</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numPr>
          <w:ilvl w:val="0"/>
          <w:numId w:val="1"/>
        </w:numPr>
        <w:autoSpaceDE/>
        <w:autoSpaceDN/>
        <w:ind w:right="-518"/>
        <w:contextualSpacing/>
        <w:jc w:val="both"/>
        <w:rPr>
          <w:rFonts w:ascii="Arial" w:eastAsia="Arial" w:hAnsi="Arial" w:cs="Arial"/>
          <w:b/>
          <w:bCs/>
          <w:sz w:val="24"/>
          <w:szCs w:val="24"/>
        </w:rPr>
      </w:pPr>
      <w:r w:rsidRPr="006F2305">
        <w:rPr>
          <w:rFonts w:ascii="Arial" w:eastAsia="Arial" w:hAnsi="Arial" w:cs="Arial"/>
          <w:b/>
          <w:bCs/>
          <w:sz w:val="24"/>
          <w:szCs w:val="24"/>
        </w:rPr>
        <w:t>Indicadores.</w:t>
      </w:r>
    </w:p>
    <w:p w:rsidR="00DD24A3" w:rsidRPr="006F2305" w:rsidRDefault="00DD24A3" w:rsidP="00DD24A3">
      <w:pPr>
        <w:spacing w:before="1"/>
        <w:ind w:left="360" w:right="-518" w:hanging="360"/>
        <w:jc w:val="both"/>
        <w:rPr>
          <w:rFonts w:ascii="Arial" w:eastAsia="Arial" w:hAnsi="Arial" w:cs="Arial"/>
          <w:b/>
          <w:bCs/>
          <w:sz w:val="24"/>
          <w:szCs w:val="24"/>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Para la presentación de indicadores financieros, la Gerencia Financiera informó en mesas de trabajo que se realizan de forma manual a pesar de que se cuenta con la herramienta tecnológica no se encuentra en uso.</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lastRenderedPageBreak/>
        <w:t>Adicionalmente para el fondo FRISCO no se tienen interesados u órganos de control que los requieran para su presentación o análisis de indicadores o información financiera.</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numPr>
          <w:ilvl w:val="0"/>
          <w:numId w:val="1"/>
        </w:numPr>
        <w:autoSpaceDE/>
        <w:autoSpaceDN/>
        <w:ind w:right="-518"/>
        <w:contextualSpacing/>
        <w:jc w:val="both"/>
        <w:rPr>
          <w:rFonts w:ascii="Arial" w:eastAsia="Arial" w:hAnsi="Arial" w:cs="Arial"/>
          <w:b/>
          <w:bCs/>
          <w:sz w:val="24"/>
          <w:szCs w:val="24"/>
        </w:rPr>
      </w:pPr>
      <w:r w:rsidRPr="006F2305">
        <w:rPr>
          <w:rFonts w:ascii="Arial" w:eastAsia="Arial" w:hAnsi="Arial" w:cs="Arial"/>
          <w:b/>
          <w:bCs/>
          <w:sz w:val="24"/>
          <w:szCs w:val="24"/>
        </w:rPr>
        <w:t>Comité de Sostenibilidad Contable.</w:t>
      </w:r>
    </w:p>
    <w:p w:rsidR="00DD24A3" w:rsidRPr="006F2305" w:rsidRDefault="00DD24A3" w:rsidP="00DD24A3">
      <w:pPr>
        <w:widowControl/>
        <w:autoSpaceDE/>
        <w:autoSpaceDN/>
        <w:ind w:right="-518"/>
        <w:jc w:val="both"/>
        <w:rPr>
          <w:rFonts w:ascii="Arial" w:eastAsia="Times New Roman" w:hAnsi="Arial" w:cs="Arial"/>
          <w:b/>
          <w:bCs/>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En las sesiones del Comité de Sostenibilidad Contable que se realizaron en el año 2022 no se presentaron casos relevantes del objeto del comité de acuerdo con la Resolución No.374 de 2018, y Resolución No.4626 de 2018 y reglamento interno del citado comité. </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numPr>
          <w:ilvl w:val="0"/>
          <w:numId w:val="1"/>
        </w:numPr>
        <w:autoSpaceDE/>
        <w:autoSpaceDN/>
        <w:ind w:right="-518"/>
        <w:contextualSpacing/>
        <w:jc w:val="both"/>
        <w:rPr>
          <w:rFonts w:ascii="Arial" w:eastAsia="Arial" w:hAnsi="Arial" w:cs="Arial"/>
          <w:sz w:val="24"/>
          <w:szCs w:val="24"/>
        </w:rPr>
      </w:pPr>
      <w:r w:rsidRPr="006F2305">
        <w:rPr>
          <w:rFonts w:ascii="Arial" w:eastAsia="Arial" w:hAnsi="Arial" w:cs="Arial"/>
          <w:b/>
          <w:bCs/>
          <w:sz w:val="24"/>
          <w:szCs w:val="24"/>
        </w:rPr>
        <w:t>Comité Técnico, Administrativo y Financiero</w:t>
      </w:r>
      <w:r w:rsidRPr="006F2305">
        <w:rPr>
          <w:rFonts w:ascii="Arial" w:eastAsia="Arial" w:hAnsi="Arial" w:cs="Arial"/>
          <w:sz w:val="24"/>
          <w:szCs w:val="24"/>
        </w:rPr>
        <w:t>.</w:t>
      </w:r>
    </w:p>
    <w:p w:rsidR="00DD24A3" w:rsidRPr="006F2305" w:rsidRDefault="00DD24A3" w:rsidP="00DD24A3">
      <w:pPr>
        <w:widowControl/>
        <w:autoSpaceDE/>
        <w:autoSpaceDN/>
        <w:ind w:left="360" w:right="-518"/>
        <w:contextualSpacing/>
        <w:jc w:val="both"/>
        <w:rPr>
          <w:rFonts w:ascii="Arial" w:eastAsia="Arial" w:hAnsi="Arial" w:cs="Arial"/>
          <w:sz w:val="24"/>
          <w:szCs w:val="24"/>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Se realizaron dos sesiones Comité Técnico, Administrativo y Financiero. De acuerdo con lo anterior se está incumpliendo con el art.3 de la Resolución No.178 de 2015 modificada por la Resolución 509 de 2016 que indica que los comités se deberán realizar ordinariamente de manera bimestral y extraordinariamente cuando las circunstancias lo exijan. Adicionalmente, se observa que los estados financieros fueron presentados hasta el corte de mayo de 2022.</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numPr>
          <w:ilvl w:val="0"/>
          <w:numId w:val="1"/>
        </w:numPr>
        <w:autoSpaceDE/>
        <w:autoSpaceDN/>
        <w:ind w:right="-518"/>
        <w:contextualSpacing/>
        <w:jc w:val="both"/>
        <w:rPr>
          <w:rFonts w:ascii="Arial" w:eastAsia="Arial" w:hAnsi="Arial" w:cs="Arial"/>
          <w:b/>
          <w:bCs/>
          <w:sz w:val="24"/>
          <w:szCs w:val="24"/>
        </w:rPr>
      </w:pPr>
      <w:r w:rsidRPr="006F2305">
        <w:rPr>
          <w:rFonts w:ascii="Arial" w:eastAsia="Arial" w:hAnsi="Arial" w:cs="Arial"/>
          <w:b/>
          <w:bCs/>
          <w:sz w:val="24"/>
          <w:szCs w:val="24"/>
        </w:rPr>
        <w:t>Audiencia de Rendición de Cuentas</w:t>
      </w:r>
      <w:r>
        <w:rPr>
          <w:rFonts w:ascii="Arial" w:eastAsia="Arial" w:hAnsi="Arial" w:cs="Arial"/>
          <w:b/>
          <w:bCs/>
          <w:sz w:val="24"/>
          <w:szCs w:val="24"/>
        </w:rPr>
        <w:t>.</w:t>
      </w:r>
    </w:p>
    <w:p w:rsidR="00DD24A3" w:rsidRPr="006F2305" w:rsidRDefault="00DD24A3" w:rsidP="00DD24A3">
      <w:pPr>
        <w:widowControl/>
        <w:autoSpaceDE/>
        <w:autoSpaceDN/>
        <w:ind w:left="360" w:right="-518"/>
        <w:contextualSpacing/>
        <w:jc w:val="both"/>
        <w:rPr>
          <w:rFonts w:ascii="Arial" w:eastAsia="Arial" w:hAnsi="Arial" w:cs="Arial"/>
          <w:b/>
          <w:bCs/>
          <w:sz w:val="24"/>
          <w:szCs w:val="24"/>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Con relación a la Audiencia de Rendición de Cuentas y de acuerdo con lo establecido por la función pública en la Guía de Rendición de Cuenta, la entidad no cumple con las actividades establecidas para este ejercicio en cuanto a la presentación de los estados financieros.</w:t>
      </w: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p>
    <w:p w:rsidR="00DD24A3" w:rsidRPr="006F2305" w:rsidRDefault="00DD24A3" w:rsidP="00DD24A3">
      <w:pPr>
        <w:widowControl/>
        <w:numPr>
          <w:ilvl w:val="0"/>
          <w:numId w:val="1"/>
        </w:numPr>
        <w:autoSpaceDE/>
        <w:autoSpaceDN/>
        <w:ind w:right="-518"/>
        <w:contextualSpacing/>
        <w:jc w:val="both"/>
        <w:rPr>
          <w:rFonts w:ascii="Arial" w:eastAsia="Arial" w:hAnsi="Arial" w:cs="Arial"/>
          <w:b/>
          <w:bCs/>
          <w:sz w:val="24"/>
          <w:szCs w:val="24"/>
        </w:rPr>
      </w:pPr>
      <w:r w:rsidRPr="006F2305">
        <w:rPr>
          <w:rFonts w:ascii="Arial" w:eastAsia="Arial" w:hAnsi="Arial" w:cs="Arial"/>
          <w:b/>
          <w:bCs/>
          <w:sz w:val="24"/>
          <w:szCs w:val="24"/>
        </w:rPr>
        <w:t>Resultado de la Auditoría Financiera de la Contraloría General de la República.</w:t>
      </w:r>
    </w:p>
    <w:p w:rsidR="00DD24A3" w:rsidRPr="006F2305" w:rsidRDefault="00DD24A3" w:rsidP="00DD24A3">
      <w:pPr>
        <w:widowControl/>
        <w:autoSpaceDE/>
        <w:autoSpaceDN/>
        <w:ind w:left="360" w:right="-518"/>
        <w:contextualSpacing/>
        <w:jc w:val="both"/>
        <w:rPr>
          <w:rFonts w:ascii="Arial" w:eastAsia="Arial" w:hAnsi="Arial" w:cs="Arial"/>
          <w:b/>
          <w:bCs/>
          <w:sz w:val="24"/>
          <w:szCs w:val="24"/>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Como resultado de la Auditoría Financiera de la SAE para la vigencia 2021 que se realizó en el primer semestre del 2022, la evaluación del diseño, efectividad, calidad y eficiencia de los controles emite concepto sobre Control Interno Financiero con una calificación de “Deficiencias”, que corresponde a 1.53.</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Como resultado de la Auditoría Financiera del Fondo FRISCO realizada por la CGR de la vigencia 2021 que se realizó en el primer semestre del 2022, la evaluación del diseño, efectividad, calidad y eficiencia de los controles emite concepto sobre Control Interno Financiero con una calificación de “INEFICIENTE”, que corresponde a 2.5.</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Adicionalmente, se presentan a continuación las siguientes debilidades aplicables según corresponda a SAE y FRISCO.</w:t>
      </w: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p>
    <w:p w:rsidR="00DD24A3" w:rsidRPr="006F2305" w:rsidRDefault="00DD24A3" w:rsidP="00DD24A3">
      <w:pPr>
        <w:widowControl/>
        <w:autoSpaceDE/>
        <w:autoSpaceDN/>
        <w:jc w:val="both"/>
        <w:rPr>
          <w:rFonts w:ascii="Arial" w:eastAsia="Times New Roman" w:hAnsi="Arial" w:cs="Arial"/>
          <w:b/>
          <w:sz w:val="24"/>
          <w:szCs w:val="24"/>
          <w:u w:val="single"/>
          <w:lang w:eastAsia="es-ES"/>
        </w:rPr>
      </w:pPr>
      <w:r w:rsidRPr="006F2305">
        <w:rPr>
          <w:rFonts w:ascii="Arial" w:eastAsia="Times New Roman" w:hAnsi="Arial" w:cs="Arial"/>
          <w:b/>
          <w:sz w:val="24"/>
          <w:szCs w:val="24"/>
          <w:u w:val="single"/>
          <w:lang w:eastAsia="es-ES"/>
        </w:rPr>
        <w:t>Fondo FRISCO</w:t>
      </w:r>
      <w:r>
        <w:rPr>
          <w:rFonts w:ascii="Arial" w:eastAsia="Times New Roman" w:hAnsi="Arial" w:cs="Arial"/>
          <w:b/>
          <w:sz w:val="24"/>
          <w:szCs w:val="24"/>
          <w:u w:val="single"/>
          <w:lang w:eastAsia="es-ES"/>
        </w:rPr>
        <w:t>.</w:t>
      </w:r>
    </w:p>
    <w:p w:rsidR="00DD24A3" w:rsidRPr="006F2305" w:rsidRDefault="00DD24A3" w:rsidP="00DD24A3">
      <w:pPr>
        <w:widowControl/>
        <w:autoSpaceDE/>
        <w:autoSpaceDN/>
        <w:jc w:val="both"/>
        <w:rPr>
          <w:rFonts w:ascii="Arial" w:eastAsia="Times New Roman" w:hAnsi="Arial" w:cs="Arial"/>
          <w:sz w:val="24"/>
          <w:szCs w:val="24"/>
          <w:u w:val="single"/>
          <w:lang w:eastAsia="es-ES"/>
        </w:rPr>
      </w:pPr>
    </w:p>
    <w:p w:rsidR="00DD24A3" w:rsidRPr="006F2305" w:rsidRDefault="00DD24A3" w:rsidP="00DD24A3">
      <w:pPr>
        <w:widowControl/>
        <w:numPr>
          <w:ilvl w:val="0"/>
          <w:numId w:val="3"/>
        </w:numPr>
        <w:autoSpaceDE/>
        <w:autoSpaceDN/>
        <w:spacing w:line="259" w:lineRule="auto"/>
        <w:ind w:right="-518"/>
        <w:contextualSpacing/>
        <w:jc w:val="both"/>
        <w:rPr>
          <w:rFonts w:ascii="Arial" w:eastAsia="Arial" w:hAnsi="Arial" w:cs="Arial"/>
          <w:sz w:val="24"/>
          <w:szCs w:val="24"/>
        </w:rPr>
      </w:pPr>
      <w:r w:rsidRPr="006F2305">
        <w:rPr>
          <w:rFonts w:ascii="Arial" w:eastAsia="Arial" w:hAnsi="Arial" w:cs="Arial"/>
          <w:sz w:val="24"/>
          <w:szCs w:val="24"/>
        </w:rPr>
        <w:t xml:space="preserve">La oficina de Control Interno realizó una validación de la información requerida por las diferentes dependencias productoras de información contable de acuerdo con los procedimientos y el Manual de Políticas Contables del FRISCO y que es insumo para la realización de verificaciones y conciliaciones de información por parte de la oficina contable. </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Resultado de dichas mesas de trabajo</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se observa:</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numPr>
          <w:ilvl w:val="0"/>
          <w:numId w:val="2"/>
        </w:numPr>
        <w:autoSpaceDE/>
        <w:autoSpaceDN/>
        <w:ind w:right="-518"/>
        <w:contextualSpacing/>
        <w:jc w:val="both"/>
        <w:rPr>
          <w:rFonts w:ascii="Arial" w:eastAsia="Arial" w:hAnsi="Arial" w:cs="Arial"/>
          <w:sz w:val="24"/>
          <w:szCs w:val="24"/>
        </w:rPr>
      </w:pPr>
      <w:r w:rsidRPr="006F2305">
        <w:rPr>
          <w:rFonts w:ascii="Arial" w:eastAsia="Arial" w:hAnsi="Arial" w:cs="Arial"/>
          <w:sz w:val="24"/>
          <w:szCs w:val="24"/>
        </w:rPr>
        <w:lastRenderedPageBreak/>
        <w:t>Se encuentra en proceso de validación por parte del área contable la conciliación anual de Cartera realizada por la Gerencia Comercial. Se observa que los valores depurados no han sido presentados ante instancias decisorias en las tres últimas vigencias.</w:t>
      </w:r>
    </w:p>
    <w:p w:rsidR="00DD24A3" w:rsidRPr="006F2305" w:rsidRDefault="00DD24A3" w:rsidP="00DD24A3">
      <w:pPr>
        <w:widowControl/>
        <w:autoSpaceDE/>
        <w:autoSpaceDN/>
        <w:ind w:left="360" w:right="-518"/>
        <w:contextualSpacing/>
        <w:jc w:val="both"/>
        <w:rPr>
          <w:rFonts w:ascii="Arial" w:eastAsia="Arial" w:hAnsi="Arial" w:cs="Arial"/>
          <w:sz w:val="24"/>
          <w:szCs w:val="24"/>
        </w:rPr>
      </w:pPr>
    </w:p>
    <w:p w:rsidR="00DD24A3" w:rsidRDefault="00DD24A3" w:rsidP="00DD24A3">
      <w:pPr>
        <w:widowControl/>
        <w:numPr>
          <w:ilvl w:val="0"/>
          <w:numId w:val="2"/>
        </w:numPr>
        <w:autoSpaceDE/>
        <w:autoSpaceDN/>
        <w:ind w:right="-518"/>
        <w:contextualSpacing/>
        <w:jc w:val="both"/>
        <w:rPr>
          <w:rFonts w:ascii="Arial" w:eastAsia="Arial" w:hAnsi="Arial" w:cs="Arial"/>
          <w:sz w:val="24"/>
          <w:szCs w:val="24"/>
        </w:rPr>
      </w:pPr>
      <w:r w:rsidRPr="006F2305">
        <w:rPr>
          <w:rFonts w:ascii="Arial" w:eastAsia="Arial" w:hAnsi="Arial" w:cs="Arial"/>
          <w:sz w:val="24"/>
          <w:szCs w:val="24"/>
        </w:rPr>
        <w:t>Se evidenció que se tiene activos en el inventario de bienes muebles, inmuebles y sociedades tanto extintos como incautados, con valores en cero al corte de 31/12/2022.</w:t>
      </w:r>
    </w:p>
    <w:p w:rsidR="00DD24A3" w:rsidRPr="006F2305" w:rsidRDefault="00DD24A3" w:rsidP="00DD24A3">
      <w:pPr>
        <w:widowControl/>
        <w:autoSpaceDE/>
        <w:autoSpaceDN/>
        <w:ind w:right="-518"/>
        <w:contextualSpacing/>
        <w:jc w:val="both"/>
        <w:rPr>
          <w:rFonts w:ascii="Arial" w:eastAsia="Arial" w:hAnsi="Arial" w:cs="Arial"/>
          <w:sz w:val="24"/>
          <w:szCs w:val="24"/>
        </w:rPr>
      </w:pPr>
    </w:p>
    <w:p w:rsidR="00DD24A3" w:rsidRPr="006F2305" w:rsidRDefault="00DD24A3" w:rsidP="00DD24A3">
      <w:pPr>
        <w:widowControl/>
        <w:numPr>
          <w:ilvl w:val="0"/>
          <w:numId w:val="2"/>
        </w:numPr>
        <w:autoSpaceDE/>
        <w:autoSpaceDN/>
        <w:ind w:right="-518"/>
        <w:contextualSpacing/>
        <w:jc w:val="both"/>
        <w:rPr>
          <w:rFonts w:ascii="Arial" w:eastAsia="Arial" w:hAnsi="Arial" w:cs="Arial"/>
          <w:sz w:val="24"/>
          <w:szCs w:val="24"/>
        </w:rPr>
      </w:pPr>
      <w:r w:rsidRPr="006F2305">
        <w:rPr>
          <w:rFonts w:ascii="Arial" w:eastAsia="Arial" w:hAnsi="Arial" w:cs="Arial"/>
          <w:sz w:val="24"/>
          <w:szCs w:val="24"/>
        </w:rPr>
        <w:t xml:space="preserve">A la fecha de la evaluación se encuentran en ejecución la realización y proceso de firma las conciliaciones al corte de 31/12/2022. </w:t>
      </w:r>
    </w:p>
    <w:p w:rsidR="00DD24A3" w:rsidRPr="006F2305" w:rsidRDefault="00DD24A3" w:rsidP="00DD24A3">
      <w:pPr>
        <w:widowControl/>
        <w:autoSpaceDE/>
        <w:autoSpaceDN/>
        <w:ind w:left="360" w:right="-518"/>
        <w:contextualSpacing/>
        <w:jc w:val="both"/>
        <w:rPr>
          <w:rFonts w:ascii="Arial" w:eastAsia="Arial" w:hAnsi="Arial" w:cs="Arial"/>
          <w:sz w:val="24"/>
          <w:szCs w:val="24"/>
        </w:rPr>
      </w:pPr>
    </w:p>
    <w:p w:rsidR="00DD24A3" w:rsidRDefault="00DD24A3" w:rsidP="00DD24A3">
      <w:pPr>
        <w:widowControl/>
        <w:numPr>
          <w:ilvl w:val="0"/>
          <w:numId w:val="2"/>
        </w:numPr>
        <w:autoSpaceDE/>
        <w:autoSpaceDN/>
        <w:ind w:right="-518"/>
        <w:contextualSpacing/>
        <w:jc w:val="both"/>
        <w:rPr>
          <w:rFonts w:ascii="Arial" w:eastAsia="Arial" w:hAnsi="Arial" w:cs="Arial"/>
          <w:sz w:val="24"/>
          <w:szCs w:val="24"/>
        </w:rPr>
      </w:pPr>
      <w:r w:rsidRPr="006F2305">
        <w:rPr>
          <w:rFonts w:ascii="Arial" w:eastAsia="Arial" w:hAnsi="Arial" w:cs="Arial"/>
          <w:sz w:val="24"/>
          <w:szCs w:val="24"/>
        </w:rPr>
        <w:t>Se observa que se continúan dejando valores pendientes por identificar en la cuenta 24072000010001 RECAUDOS POR IDENTIFICAR BANCO AGRARIO 9263, la cual tiene al corte de 31/12/2022</w:t>
      </w:r>
      <w:r>
        <w:rPr>
          <w:rFonts w:ascii="Arial" w:eastAsia="Arial" w:hAnsi="Arial" w:cs="Arial"/>
          <w:sz w:val="24"/>
          <w:szCs w:val="24"/>
        </w:rPr>
        <w:t>,</w:t>
      </w:r>
      <w:r w:rsidRPr="006F2305">
        <w:rPr>
          <w:rFonts w:ascii="Arial" w:eastAsia="Arial" w:hAnsi="Arial" w:cs="Arial"/>
          <w:sz w:val="24"/>
          <w:szCs w:val="24"/>
        </w:rPr>
        <w:t xml:space="preserve"> un saldo por valor de </w:t>
      </w:r>
      <w:r>
        <w:rPr>
          <w:rFonts w:ascii="Arial" w:eastAsia="Arial" w:hAnsi="Arial" w:cs="Arial"/>
          <w:sz w:val="24"/>
          <w:szCs w:val="24"/>
        </w:rPr>
        <w:t>$</w:t>
      </w:r>
      <w:r w:rsidRPr="006F2305">
        <w:rPr>
          <w:rFonts w:ascii="Arial" w:eastAsia="Arial" w:hAnsi="Arial" w:cs="Arial"/>
          <w:sz w:val="24"/>
          <w:szCs w:val="24"/>
        </w:rPr>
        <w:t>26.651'521.773.3.</w:t>
      </w:r>
    </w:p>
    <w:p w:rsidR="00DD24A3" w:rsidRPr="006F2305" w:rsidRDefault="00DD24A3" w:rsidP="00DD24A3">
      <w:pPr>
        <w:widowControl/>
        <w:autoSpaceDE/>
        <w:autoSpaceDN/>
        <w:ind w:right="-518"/>
        <w:contextualSpacing/>
        <w:jc w:val="both"/>
        <w:rPr>
          <w:rFonts w:ascii="Arial" w:eastAsia="Arial" w:hAnsi="Arial" w:cs="Arial"/>
          <w:sz w:val="24"/>
          <w:szCs w:val="24"/>
        </w:rPr>
      </w:pPr>
      <w:r w:rsidRPr="006F2305">
        <w:rPr>
          <w:rFonts w:ascii="Arial" w:eastAsia="Arial" w:hAnsi="Arial" w:cs="Arial"/>
          <w:sz w:val="24"/>
          <w:szCs w:val="24"/>
        </w:rPr>
        <w:t xml:space="preserve"> </w:t>
      </w:r>
    </w:p>
    <w:p w:rsidR="00DD24A3" w:rsidRPr="006F2305" w:rsidRDefault="00DD24A3" w:rsidP="00DD24A3">
      <w:pPr>
        <w:widowControl/>
        <w:numPr>
          <w:ilvl w:val="0"/>
          <w:numId w:val="2"/>
        </w:numPr>
        <w:autoSpaceDE/>
        <w:autoSpaceDN/>
        <w:ind w:right="-518"/>
        <w:contextualSpacing/>
        <w:jc w:val="both"/>
        <w:rPr>
          <w:rFonts w:ascii="Arial" w:eastAsia="Arial" w:hAnsi="Arial" w:cs="Arial"/>
          <w:sz w:val="24"/>
          <w:szCs w:val="24"/>
        </w:rPr>
      </w:pPr>
      <w:r w:rsidRPr="006F2305">
        <w:rPr>
          <w:rFonts w:ascii="Arial" w:eastAsia="Arial" w:hAnsi="Arial" w:cs="Arial"/>
          <w:sz w:val="24"/>
          <w:szCs w:val="24"/>
        </w:rPr>
        <w:t xml:space="preserve">De acuerdo con la información recibida el valor de US 74.269,47 que está en la cuenta del City Bank corresponde al producto de la venta de los Bonos </w:t>
      </w:r>
      <w:proofErr w:type="spellStart"/>
      <w:r w:rsidRPr="006F2305">
        <w:rPr>
          <w:rFonts w:ascii="Arial" w:eastAsia="Arial" w:hAnsi="Arial" w:cs="Arial"/>
          <w:sz w:val="24"/>
          <w:szCs w:val="24"/>
        </w:rPr>
        <w:t>Yankee</w:t>
      </w:r>
      <w:proofErr w:type="spellEnd"/>
      <w:r w:rsidRPr="006F2305">
        <w:rPr>
          <w:rFonts w:ascii="Arial" w:eastAsia="Arial" w:hAnsi="Arial" w:cs="Arial"/>
          <w:sz w:val="24"/>
          <w:szCs w:val="24"/>
        </w:rPr>
        <w:t xml:space="preserve"> y Divisas del año 2016 y que a la fecha no ha sido identificada, como tampoco se tienen lineamiento sobre los recursos de dicha cuenta e intereses. </w:t>
      </w:r>
    </w:p>
    <w:p w:rsidR="00DD24A3" w:rsidRPr="006F2305" w:rsidRDefault="00DD24A3" w:rsidP="00DD24A3">
      <w:pPr>
        <w:widowControl/>
        <w:autoSpaceDE/>
        <w:autoSpaceDN/>
        <w:ind w:left="360" w:right="-518"/>
        <w:contextualSpacing/>
        <w:jc w:val="both"/>
        <w:rPr>
          <w:rFonts w:ascii="Arial" w:eastAsia="Arial" w:hAnsi="Arial" w:cs="Arial"/>
          <w:sz w:val="24"/>
          <w:szCs w:val="24"/>
        </w:rPr>
      </w:pPr>
    </w:p>
    <w:p w:rsidR="00DD24A3" w:rsidRPr="006F2305" w:rsidRDefault="00DD24A3" w:rsidP="00DD24A3">
      <w:pPr>
        <w:widowControl/>
        <w:numPr>
          <w:ilvl w:val="0"/>
          <w:numId w:val="2"/>
        </w:numPr>
        <w:autoSpaceDE/>
        <w:autoSpaceDN/>
        <w:ind w:right="-518"/>
        <w:contextualSpacing/>
        <w:jc w:val="both"/>
        <w:rPr>
          <w:rFonts w:ascii="Arial" w:eastAsia="Arial" w:hAnsi="Arial" w:cs="Arial"/>
          <w:sz w:val="24"/>
          <w:szCs w:val="24"/>
        </w:rPr>
      </w:pPr>
      <w:r w:rsidRPr="006F2305">
        <w:rPr>
          <w:rFonts w:ascii="Arial" w:eastAsia="Arial" w:hAnsi="Arial" w:cs="Arial"/>
          <w:sz w:val="24"/>
          <w:szCs w:val="24"/>
        </w:rPr>
        <w:t>Los estados Financieros del FRISCO</w:t>
      </w:r>
      <w:r>
        <w:rPr>
          <w:rFonts w:ascii="Arial" w:eastAsia="Arial" w:hAnsi="Arial" w:cs="Arial"/>
          <w:sz w:val="24"/>
          <w:szCs w:val="24"/>
        </w:rPr>
        <w:t>,</w:t>
      </w:r>
      <w:r w:rsidRPr="006F2305">
        <w:rPr>
          <w:rFonts w:ascii="Arial" w:eastAsia="Arial" w:hAnsi="Arial" w:cs="Arial"/>
          <w:sz w:val="24"/>
          <w:szCs w:val="24"/>
        </w:rPr>
        <w:t xml:space="preserve"> no son objeto de aprobación por ningún órgano o instancia adicional a la certificación del Representante Legal y Contador de la entidad. </w:t>
      </w:r>
    </w:p>
    <w:p w:rsidR="00DD24A3" w:rsidRPr="006F2305" w:rsidRDefault="00DD24A3" w:rsidP="00DD24A3">
      <w:pPr>
        <w:widowControl/>
        <w:autoSpaceDE/>
        <w:autoSpaceDN/>
        <w:ind w:left="-142" w:right="-518"/>
        <w:jc w:val="both"/>
        <w:rPr>
          <w:rFonts w:ascii="Arial" w:eastAsia="Calibri" w:hAnsi="Arial" w:cs="Arial"/>
          <w:b/>
          <w:sz w:val="24"/>
          <w:szCs w:val="24"/>
          <w:lang w:eastAsia="es-ES"/>
        </w:rPr>
      </w:pPr>
    </w:p>
    <w:p w:rsidR="00DD24A3" w:rsidRPr="006F2305" w:rsidRDefault="00DD24A3" w:rsidP="00DD24A3">
      <w:pPr>
        <w:widowControl/>
        <w:autoSpaceDE/>
        <w:autoSpaceDN/>
        <w:ind w:right="-518"/>
        <w:jc w:val="both"/>
        <w:rPr>
          <w:rFonts w:ascii="Arial" w:eastAsia="Times New Roman" w:hAnsi="Arial" w:cs="Arial"/>
          <w:b/>
          <w:sz w:val="24"/>
          <w:szCs w:val="24"/>
          <w:u w:val="single"/>
          <w:lang w:eastAsia="es-ES"/>
        </w:rPr>
      </w:pPr>
      <w:r w:rsidRPr="006F2305">
        <w:rPr>
          <w:rFonts w:ascii="Arial" w:eastAsia="Times New Roman" w:hAnsi="Arial" w:cs="Arial"/>
          <w:b/>
          <w:sz w:val="24"/>
          <w:szCs w:val="24"/>
          <w:u w:val="single"/>
          <w:lang w:eastAsia="es-ES"/>
        </w:rPr>
        <w:t>Información Adicional Presentada Posterior a la Evaluación</w:t>
      </w:r>
      <w:r>
        <w:rPr>
          <w:rFonts w:ascii="Arial" w:eastAsia="Times New Roman" w:hAnsi="Arial" w:cs="Arial"/>
          <w:b/>
          <w:sz w:val="24"/>
          <w:szCs w:val="24"/>
          <w:u w:val="single"/>
          <w:lang w:eastAsia="es-ES"/>
        </w:rPr>
        <w:t>.</w:t>
      </w:r>
    </w:p>
    <w:p w:rsidR="00DD24A3" w:rsidRPr="006F2305" w:rsidRDefault="00DD24A3" w:rsidP="00DD24A3">
      <w:pPr>
        <w:widowControl/>
        <w:autoSpaceDE/>
        <w:autoSpaceDN/>
        <w:ind w:right="-518"/>
        <w:jc w:val="both"/>
        <w:rPr>
          <w:rFonts w:ascii="Arial" w:eastAsia="Times New Roman" w:hAnsi="Arial" w:cs="Arial"/>
          <w:b/>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Conforme a solicitud de realizada por la Oficina de Control Interno, la Gerencia Financiera incorporó en la carpeta compartida 91-Evidencias OCI, la hoja de trabajo mediante la cual se realizó el cálculo de deterioro de cartera. La cual presenta un valor de $64.680.871.424 correspondiente a la clasificación mayor a 181 días.</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Mediante correo electrónico del 27 de febrero de 2023 a las 2:57 pm, se reciben Notas a los Estados Financieros del FRISCO, posteriormente se realizó reunión mesa de trabajo de revisión conjunta de resultados de la Evaluación del Sistema de Control Interno a las 4:00 pm del mismo día. </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Se solicitó aclaración de la información que se encuentra descrita en las </w:t>
      </w:r>
      <w:r>
        <w:rPr>
          <w:rFonts w:ascii="Arial" w:eastAsia="Times New Roman" w:hAnsi="Arial" w:cs="Arial"/>
          <w:sz w:val="24"/>
          <w:szCs w:val="24"/>
          <w:lang w:eastAsia="es-ES"/>
        </w:rPr>
        <w:t>N</w:t>
      </w:r>
      <w:r w:rsidRPr="006F2305">
        <w:rPr>
          <w:rFonts w:ascii="Arial" w:eastAsia="Times New Roman" w:hAnsi="Arial" w:cs="Arial"/>
          <w:sz w:val="24"/>
          <w:szCs w:val="24"/>
          <w:lang w:eastAsia="es-ES"/>
        </w:rPr>
        <w:t xml:space="preserve">otas a los </w:t>
      </w:r>
      <w:r>
        <w:rPr>
          <w:rFonts w:ascii="Arial" w:eastAsia="Times New Roman" w:hAnsi="Arial" w:cs="Arial"/>
          <w:sz w:val="24"/>
          <w:szCs w:val="24"/>
          <w:lang w:eastAsia="es-ES"/>
        </w:rPr>
        <w:t>E</w:t>
      </w:r>
      <w:r w:rsidRPr="006F2305">
        <w:rPr>
          <w:rFonts w:ascii="Arial" w:eastAsia="Times New Roman" w:hAnsi="Arial" w:cs="Arial"/>
          <w:sz w:val="24"/>
          <w:szCs w:val="24"/>
          <w:lang w:eastAsia="es-ES"/>
        </w:rPr>
        <w:t xml:space="preserve">stados </w:t>
      </w:r>
      <w:r>
        <w:rPr>
          <w:rFonts w:ascii="Arial" w:eastAsia="Times New Roman" w:hAnsi="Arial" w:cs="Arial"/>
          <w:sz w:val="24"/>
          <w:szCs w:val="24"/>
          <w:lang w:eastAsia="es-ES"/>
        </w:rPr>
        <w:t>F</w:t>
      </w:r>
      <w:r w:rsidRPr="006F2305">
        <w:rPr>
          <w:rFonts w:ascii="Arial" w:eastAsia="Times New Roman" w:hAnsi="Arial" w:cs="Arial"/>
          <w:sz w:val="24"/>
          <w:szCs w:val="24"/>
          <w:lang w:eastAsia="es-ES"/>
        </w:rPr>
        <w:t>inancieros del deterioro de cartera que</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presenta un valor total de $65.596.192 (Miles) respecto a la hoja de trabajo previamente remitida. Quedando como compromiso por parte del área de contabilidad atender la misma el día siguiente. </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El día 28 de febrero de 2023</w:t>
      </w:r>
      <w:r>
        <w:rPr>
          <w:rFonts w:ascii="Arial" w:eastAsia="Times New Roman" w:hAnsi="Arial" w:cs="Arial"/>
          <w:sz w:val="24"/>
          <w:szCs w:val="24"/>
          <w:lang w:eastAsia="es-ES"/>
        </w:rPr>
        <w:t>,</w:t>
      </w:r>
      <w:r w:rsidRPr="006F2305">
        <w:rPr>
          <w:rFonts w:ascii="Arial" w:eastAsia="Times New Roman" w:hAnsi="Arial" w:cs="Arial"/>
          <w:sz w:val="24"/>
          <w:szCs w:val="24"/>
          <w:lang w:eastAsia="es-ES"/>
        </w:rPr>
        <w:t xml:space="preserve"> se realiza comunicación con la trabajadora encargada del tema del deterioro, donde se validó que se encontraba pendiente la contabilización del cálculo efectuado a la cartera de 0 a 180 días realizado por parte de la Gerencia Comercial, valor que corresponde a la diferencia entre las notas y los estados financieros preliminares del FRISCO que fueron reportados al CHIP de la CGN el 16 de febrero de 2023.</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Conforme a lo anterior, se evidencian debilidades en la aplicación de la Política Contable del FRISCO, referente al cálculo de deterioro y presentación de los estados financieros. </w:t>
      </w:r>
    </w:p>
    <w:p w:rsidR="00DD24A3" w:rsidRPr="006F2305" w:rsidRDefault="00DD24A3" w:rsidP="00DD24A3">
      <w:pPr>
        <w:widowControl/>
        <w:autoSpaceDE/>
        <w:autoSpaceDN/>
        <w:ind w:right="-518"/>
        <w:jc w:val="both"/>
        <w:rPr>
          <w:rFonts w:ascii="Arial" w:eastAsia="Times New Roman" w:hAnsi="Arial" w:cs="Arial"/>
          <w:sz w:val="24"/>
          <w:szCs w:val="24"/>
          <w:lang w:eastAsia="es-ES"/>
        </w:rPr>
      </w:pPr>
    </w:p>
    <w:p w:rsidR="00DD24A3" w:rsidRPr="006F2305" w:rsidRDefault="00DD24A3" w:rsidP="00DD24A3">
      <w:pPr>
        <w:widowControl/>
        <w:autoSpaceDE/>
        <w:autoSpaceDN/>
        <w:ind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lastRenderedPageBreak/>
        <w:t>Es importante aclarar que, debido al corte y presentación de la evaluación del control interno contable, la situación descrita no fue tenida en cuenta para la calificación cuantitativa.</w:t>
      </w: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p>
    <w:p w:rsidR="00DD24A3" w:rsidRPr="006F2305" w:rsidRDefault="00DD24A3" w:rsidP="00DD24A3">
      <w:pPr>
        <w:widowControl/>
        <w:autoSpaceDE/>
        <w:autoSpaceDN/>
        <w:ind w:left="-142" w:right="-518"/>
        <w:jc w:val="both"/>
        <w:rPr>
          <w:rFonts w:ascii="Arial" w:eastAsia="Calibri" w:hAnsi="Arial" w:cs="Arial"/>
          <w:b/>
          <w:sz w:val="28"/>
          <w:szCs w:val="28"/>
          <w:lang w:eastAsia="es-ES"/>
        </w:rPr>
      </w:pPr>
      <w:r w:rsidRPr="006F2305">
        <w:rPr>
          <w:rFonts w:ascii="Arial" w:eastAsia="Calibri" w:hAnsi="Arial" w:cs="Arial"/>
          <w:b/>
          <w:sz w:val="28"/>
          <w:szCs w:val="28"/>
          <w:lang w:eastAsia="es-ES"/>
        </w:rPr>
        <w:t>-De la matriz de autoevaluación del sistema de control interno contable a 31 de diciembre de 2022, resaltamos los siguientes puntos:</w:t>
      </w:r>
    </w:p>
    <w:p w:rsidR="00DD24A3" w:rsidRPr="006F2305" w:rsidRDefault="00DD24A3" w:rsidP="00DD24A3">
      <w:pPr>
        <w:widowControl/>
        <w:autoSpaceDE/>
        <w:autoSpaceDN/>
        <w:ind w:right="-518"/>
        <w:jc w:val="both"/>
        <w:rPr>
          <w:rFonts w:ascii="Arial" w:eastAsia="Calibri" w:hAnsi="Arial" w:cs="Arial"/>
          <w:sz w:val="24"/>
          <w:szCs w:val="24"/>
          <w:lang w:eastAsia="es-ES"/>
        </w:rPr>
      </w:pPr>
    </w:p>
    <w:tbl>
      <w:tblPr>
        <w:tblStyle w:val="Tablaconcuadrcula67"/>
        <w:tblW w:w="10627" w:type="dxa"/>
        <w:tblInd w:w="-142" w:type="dxa"/>
        <w:tblLook w:val="04A0" w:firstRow="1" w:lastRow="0" w:firstColumn="1" w:lastColumn="0" w:noHBand="0" w:noVBand="1"/>
      </w:tblPr>
      <w:tblGrid>
        <w:gridCol w:w="1195"/>
        <w:gridCol w:w="2797"/>
        <w:gridCol w:w="1811"/>
        <w:gridCol w:w="4824"/>
      </w:tblGrid>
      <w:tr w:rsidR="00DD24A3" w:rsidRPr="006F2305" w:rsidTr="00DD24A3">
        <w:tc>
          <w:tcPr>
            <w:tcW w:w="1195" w:type="dxa"/>
          </w:tcPr>
          <w:p w:rsidR="00DD24A3" w:rsidRPr="006F2305" w:rsidRDefault="00DD24A3" w:rsidP="00DD24A3">
            <w:pPr>
              <w:widowControl/>
              <w:autoSpaceDE/>
              <w:autoSpaceDN/>
              <w:ind w:right="-108"/>
              <w:jc w:val="center"/>
              <w:rPr>
                <w:rFonts w:ascii="Arial" w:eastAsia="Calibri" w:hAnsi="Arial" w:cs="Arial"/>
                <w:b/>
                <w:sz w:val="20"/>
                <w:szCs w:val="20"/>
                <w:lang w:eastAsia="es-ES"/>
              </w:rPr>
            </w:pPr>
            <w:r w:rsidRPr="006F2305">
              <w:rPr>
                <w:rFonts w:ascii="Arial" w:eastAsia="Calibri" w:hAnsi="Arial" w:cs="Arial"/>
                <w:b/>
                <w:sz w:val="20"/>
                <w:szCs w:val="20"/>
                <w:lang w:eastAsia="es-ES"/>
              </w:rPr>
              <w:t>CÓDIGO</w:t>
            </w:r>
          </w:p>
        </w:tc>
        <w:tc>
          <w:tcPr>
            <w:tcW w:w="2797" w:type="dxa"/>
          </w:tcPr>
          <w:p w:rsidR="00DD24A3" w:rsidRPr="006F2305" w:rsidRDefault="00DD24A3" w:rsidP="00DD24A3">
            <w:pPr>
              <w:widowControl/>
              <w:autoSpaceDE/>
              <w:autoSpaceDN/>
              <w:ind w:right="-85"/>
              <w:jc w:val="center"/>
              <w:rPr>
                <w:rFonts w:ascii="Arial" w:eastAsia="Calibri" w:hAnsi="Arial" w:cs="Arial"/>
                <w:b/>
                <w:sz w:val="20"/>
                <w:szCs w:val="20"/>
                <w:lang w:eastAsia="es-ES"/>
              </w:rPr>
            </w:pPr>
            <w:r w:rsidRPr="006F2305">
              <w:rPr>
                <w:rFonts w:ascii="Arial" w:eastAsia="Calibri" w:hAnsi="Arial" w:cs="Arial"/>
                <w:b/>
                <w:sz w:val="20"/>
                <w:szCs w:val="20"/>
                <w:lang w:eastAsia="es-ES"/>
              </w:rPr>
              <w:t xml:space="preserve">ELEMENTO DEL MARCO </w:t>
            </w:r>
          </w:p>
          <w:p w:rsidR="00DD24A3" w:rsidRPr="006F2305" w:rsidRDefault="00DD24A3" w:rsidP="00DD24A3">
            <w:pPr>
              <w:widowControl/>
              <w:autoSpaceDE/>
              <w:autoSpaceDN/>
              <w:ind w:right="-85"/>
              <w:jc w:val="center"/>
              <w:rPr>
                <w:rFonts w:ascii="Arial" w:eastAsia="Calibri" w:hAnsi="Arial" w:cs="Arial"/>
                <w:b/>
                <w:sz w:val="20"/>
                <w:szCs w:val="20"/>
                <w:lang w:eastAsia="es-ES"/>
              </w:rPr>
            </w:pPr>
            <w:r w:rsidRPr="006F2305">
              <w:rPr>
                <w:rFonts w:ascii="Arial" w:eastAsia="Calibri" w:hAnsi="Arial" w:cs="Arial"/>
                <w:b/>
                <w:sz w:val="20"/>
                <w:szCs w:val="20"/>
                <w:lang w:eastAsia="es-ES"/>
              </w:rPr>
              <w:t>NORMATIVO</w:t>
            </w:r>
          </w:p>
          <w:p w:rsidR="00DD24A3" w:rsidRPr="006F2305" w:rsidRDefault="00DD24A3" w:rsidP="00DD24A3">
            <w:pPr>
              <w:widowControl/>
              <w:autoSpaceDE/>
              <w:autoSpaceDN/>
              <w:ind w:right="-85"/>
              <w:jc w:val="center"/>
              <w:rPr>
                <w:rFonts w:ascii="Arial" w:eastAsia="Calibri" w:hAnsi="Arial" w:cs="Arial"/>
                <w:b/>
                <w:sz w:val="20"/>
                <w:szCs w:val="20"/>
                <w:lang w:eastAsia="es-ES"/>
              </w:rPr>
            </w:pP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Calibri" w:hAnsi="Arial" w:cs="Arial"/>
                <w:b/>
                <w:sz w:val="20"/>
                <w:szCs w:val="20"/>
                <w:lang w:eastAsia="es-ES"/>
              </w:rPr>
              <w:t>CALIFICACIÓN</w:t>
            </w:r>
          </w:p>
        </w:tc>
        <w:tc>
          <w:tcPr>
            <w:tcW w:w="4824" w:type="dxa"/>
          </w:tcPr>
          <w:p w:rsidR="00DD24A3" w:rsidRPr="006F2305" w:rsidRDefault="00DD24A3" w:rsidP="00DD24A3">
            <w:pPr>
              <w:widowControl/>
              <w:autoSpaceDE/>
              <w:autoSpaceDN/>
              <w:jc w:val="center"/>
              <w:rPr>
                <w:rFonts w:ascii="Arial" w:eastAsia="Calibri" w:hAnsi="Arial" w:cs="Arial"/>
                <w:b/>
                <w:sz w:val="20"/>
                <w:szCs w:val="20"/>
                <w:lang w:eastAsia="es-ES"/>
              </w:rPr>
            </w:pPr>
            <w:r w:rsidRPr="006F2305">
              <w:rPr>
                <w:rFonts w:ascii="Arial" w:eastAsia="Calibri" w:hAnsi="Arial" w:cs="Arial"/>
                <w:b/>
                <w:sz w:val="20"/>
                <w:szCs w:val="20"/>
                <w:lang w:eastAsia="es-ES"/>
              </w:rPr>
              <w:t>OBSERVACIONES</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ES"/>
              </w:rPr>
              <w:t xml:space="preserve">1.3 </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ES"/>
              </w:rPr>
              <w:t xml:space="preserve"> ¿LAS POLÍTICAS CONTABLES RESPONDEN A LA NATURALEZA Y A LA ACTIVIDAD DE LA ENTIDAD? </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ES"/>
              </w:rPr>
              <w:t xml:space="preserve">PARCIALMENTE </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ES"/>
              </w:rPr>
              <w:t xml:space="preserve">Las Políticas Contables del FRISCO se basan en el Régimen de Contabilidad Pública del Marco Normativo para entidades de gobierno, Marco Conceptual establecido por la Resolución 533 de 2015. Sin embargo, la Gerencia Financiera cuenta con un PM de la CGR de modificar Política Contable del FRISCO, con </w:t>
            </w:r>
            <w:proofErr w:type="gramStart"/>
            <w:r w:rsidRPr="006F2305">
              <w:rPr>
                <w:rFonts w:ascii="Arial" w:eastAsia="Times New Roman" w:hAnsi="Arial" w:cs="Arial"/>
                <w:sz w:val="20"/>
                <w:szCs w:val="20"/>
                <w:lang w:eastAsia="es-ES"/>
              </w:rPr>
              <w:t>fecha  de</w:t>
            </w:r>
            <w:proofErr w:type="gramEnd"/>
            <w:r w:rsidRPr="006F2305">
              <w:rPr>
                <w:rFonts w:ascii="Arial" w:eastAsia="Times New Roman" w:hAnsi="Arial" w:cs="Arial"/>
                <w:sz w:val="20"/>
                <w:szCs w:val="20"/>
                <w:lang w:eastAsia="es-ES"/>
              </w:rPr>
              <w:t xml:space="preserve"> cierre el 30/12/2023.</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ES"/>
              </w:rPr>
              <w:t>1.4</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ES"/>
              </w:rPr>
              <w:t>¿LAS POLÍTICAS CONTABLES PROPENDEN POR LA REPRESENTACIÓN FIEL DE LA INFORMACIÓN FINANCIERA?</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ES"/>
              </w:rPr>
              <w:t>PARCIALMENTE</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ES"/>
              </w:rPr>
              <w:t xml:space="preserve">El Manual del Políticas Contables del FRISCO, se encuentra acorde con el marco normativo aplicable a la entidad cuyo objetivo es que los hechos, transacciones y eventos económico sean presentados en los estados financieros de la entidad. No obstante, la entidad tiene un Plan de Mejoramiento de la CGR en ejecución con </w:t>
            </w:r>
            <w:proofErr w:type="gramStart"/>
            <w:r w:rsidRPr="006F2305">
              <w:rPr>
                <w:rFonts w:ascii="Arial" w:eastAsia="Times New Roman" w:hAnsi="Arial" w:cs="Arial"/>
                <w:sz w:val="20"/>
                <w:szCs w:val="20"/>
                <w:lang w:eastAsia="es-ES"/>
              </w:rPr>
              <w:t>fecha  de</w:t>
            </w:r>
            <w:proofErr w:type="gramEnd"/>
            <w:r w:rsidRPr="006F2305">
              <w:rPr>
                <w:rFonts w:ascii="Arial" w:eastAsia="Times New Roman" w:hAnsi="Arial" w:cs="Arial"/>
                <w:sz w:val="20"/>
                <w:szCs w:val="20"/>
                <w:lang w:eastAsia="es-ES"/>
              </w:rPr>
              <w:t xml:space="preserve"> cierre el 30/12/2023.</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color w:val="000000"/>
                <w:sz w:val="20"/>
                <w:szCs w:val="20"/>
                <w:lang w:eastAsia="es-CO"/>
              </w:rPr>
              <w:t>4.2</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color w:val="000000"/>
                <w:sz w:val="20"/>
                <w:szCs w:val="20"/>
                <w:lang w:eastAsia="es-CO"/>
              </w:rPr>
              <w:t>¿SE VERIFICA LA INDIVIDUALIZACIÓN DE LOS BIENES FÍSICOS?</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PARCIALMENTE</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color w:val="000000"/>
                <w:sz w:val="20"/>
                <w:szCs w:val="20"/>
                <w:lang w:eastAsia="es-CO"/>
              </w:rPr>
              <w:t xml:space="preserve">Con respecto a los bienes en administración del FRISCO. Se hace la validación mensual de la información registrada en el Sistema de Administración de Bienes frente a la información del inventario anterior. Se retroalimentan diferencias, se hace requerimiento de información documental y genera conciliación de bienes administrados cada tres meses con el GIT de Aseguramiento de la Información. </w:t>
            </w:r>
            <w:r w:rsidRPr="006F2305">
              <w:rPr>
                <w:rFonts w:ascii="Arial" w:eastAsia="Times New Roman" w:hAnsi="Arial" w:cs="Arial"/>
                <w:color w:val="000000"/>
                <w:sz w:val="20"/>
                <w:szCs w:val="20"/>
                <w:lang w:eastAsia="es-CO"/>
              </w:rPr>
              <w:br/>
              <w:t>La entidad a través de las Gerencias Regionales realiza visitas físicas a los bienes para la actualización del inventario de bienes administrados. Sin embargo, resultado de las auditorías internas y externas se han evidenciado diferencias en el registro e identificación del inventario. Situación que conlleva a que no se cuente con la información real en los Estados Financieros.</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bCs/>
                <w:color w:val="000000"/>
                <w:sz w:val="20"/>
                <w:szCs w:val="20"/>
                <w:lang w:eastAsia="es-CO"/>
              </w:rPr>
              <w:t>5</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bCs/>
                <w:color w:val="000000"/>
                <w:sz w:val="20"/>
                <w:szCs w:val="20"/>
                <w:lang w:eastAsia="es-CO"/>
              </w:rPr>
              <w:t>¿SE CUENTA CON UNA DIRECTRIZ, GUÍA O PROCEDIMIENTO PARA REALIZAR LAS CONCILIACIONES DE LAS PARTIDAS MÁS RELEVANTES, A FIN DE LOGRAR UNA ADECUADA IDENTIFICACIÓN Y MEDICIÓN?</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PARCIALMENTE</w:t>
            </w:r>
          </w:p>
        </w:tc>
        <w:tc>
          <w:tcPr>
            <w:tcW w:w="4824" w:type="dxa"/>
          </w:tcPr>
          <w:p w:rsidR="00DD24A3" w:rsidRPr="006F2305" w:rsidRDefault="00DD24A3" w:rsidP="00DD24A3">
            <w:pPr>
              <w:widowControl/>
              <w:autoSpaceDE/>
              <w:autoSpaceDN/>
              <w:jc w:val="both"/>
              <w:rPr>
                <w:rFonts w:ascii="Arial" w:eastAsia="Times New Roman" w:hAnsi="Arial" w:cs="Arial"/>
                <w:color w:val="000000"/>
                <w:sz w:val="20"/>
                <w:szCs w:val="20"/>
                <w:lang w:eastAsia="es-CO"/>
              </w:rPr>
            </w:pPr>
            <w:r w:rsidRPr="006F2305">
              <w:rPr>
                <w:rFonts w:ascii="Arial" w:eastAsia="Times New Roman" w:hAnsi="Arial" w:cs="Arial"/>
                <w:color w:val="000000"/>
                <w:sz w:val="20"/>
                <w:szCs w:val="20"/>
                <w:lang w:eastAsia="es-CO"/>
              </w:rPr>
              <w:t>El Manual de Políticas Contables del FRISCO, numeral 12.1.4 CONCILIACIONES - Indica de manera general las conciliaciones que se realizan en el proceso contable.</w:t>
            </w:r>
          </w:p>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color w:val="000000"/>
                <w:sz w:val="20"/>
                <w:szCs w:val="20"/>
                <w:lang w:eastAsia="es-CO"/>
              </w:rPr>
              <w:t xml:space="preserve">La Gerencia Financiera implementó un Instructivo de Conciliaciones Bancarias. INSTRUCTIVO CONCILIACIÓN BANCARIA N-GF3-109 </w:t>
            </w:r>
            <w:proofErr w:type="spellStart"/>
            <w:r w:rsidRPr="006F2305">
              <w:rPr>
                <w:rFonts w:ascii="Arial" w:eastAsia="Times New Roman" w:hAnsi="Arial" w:cs="Arial"/>
                <w:color w:val="000000"/>
                <w:sz w:val="20"/>
                <w:szCs w:val="20"/>
                <w:lang w:eastAsia="es-CO"/>
              </w:rPr>
              <w:t>N-GF3-109</w:t>
            </w:r>
            <w:proofErr w:type="spellEnd"/>
            <w:r w:rsidRPr="006F2305">
              <w:rPr>
                <w:rFonts w:ascii="Arial" w:eastAsia="Times New Roman" w:hAnsi="Arial" w:cs="Arial"/>
                <w:color w:val="000000"/>
                <w:sz w:val="20"/>
                <w:szCs w:val="20"/>
                <w:lang w:eastAsia="es-CO"/>
              </w:rPr>
              <w:t xml:space="preserve"> Versión 2 – 24/10/2022, INSTRUCTIVO PARA EL REGISTRO CONTABLE DESDE LA RECEPCION DE ACTIVOS AL INVENTARIO N-GF2-082 Versión 3 - 29/12/2022, NSTRUCTIVO PARA El REGISTRO CONTABLE DE NÓMINA N-GF2-208 Versión 2 – 28/12/2022  </w:t>
            </w:r>
            <w:proofErr w:type="spellStart"/>
            <w:r w:rsidRPr="006F2305">
              <w:rPr>
                <w:rFonts w:ascii="Arial" w:eastAsia="Times New Roman" w:hAnsi="Arial" w:cs="Arial"/>
                <w:color w:val="000000"/>
                <w:sz w:val="20"/>
                <w:szCs w:val="20"/>
                <w:lang w:eastAsia="es-CO"/>
              </w:rPr>
              <w:t>y</w:t>
            </w:r>
            <w:proofErr w:type="spellEnd"/>
            <w:r w:rsidRPr="006F2305">
              <w:rPr>
                <w:rFonts w:ascii="Arial" w:eastAsia="Times New Roman" w:hAnsi="Arial" w:cs="Arial"/>
                <w:color w:val="000000"/>
                <w:sz w:val="20"/>
                <w:szCs w:val="20"/>
                <w:lang w:eastAsia="es-CO"/>
              </w:rPr>
              <w:t xml:space="preserve"> INSTRUCTIVO PARA El REGISTRO CONTABLE DEL CONTINGENTE JUDICIAL N-</w:t>
            </w:r>
            <w:r w:rsidRPr="006F2305">
              <w:rPr>
                <w:rFonts w:ascii="Arial" w:eastAsia="Times New Roman" w:hAnsi="Arial" w:cs="Arial"/>
                <w:color w:val="000000"/>
                <w:sz w:val="20"/>
                <w:szCs w:val="20"/>
                <w:lang w:eastAsia="es-CO"/>
              </w:rPr>
              <w:lastRenderedPageBreak/>
              <w:t>GF2-209 Versión 2 –28/12/2022.</w:t>
            </w:r>
            <w:r w:rsidRPr="006F2305">
              <w:rPr>
                <w:rFonts w:ascii="Arial" w:eastAsia="Times New Roman" w:hAnsi="Arial" w:cs="Arial"/>
                <w:color w:val="000000"/>
                <w:sz w:val="20"/>
                <w:szCs w:val="20"/>
                <w:lang w:eastAsia="es-CO"/>
              </w:rPr>
              <w:br/>
            </w:r>
            <w:r w:rsidRPr="006F2305">
              <w:rPr>
                <w:rFonts w:ascii="Arial" w:eastAsia="Times New Roman" w:hAnsi="Arial" w:cs="Arial"/>
                <w:color w:val="000000"/>
                <w:sz w:val="20"/>
                <w:szCs w:val="20"/>
                <w:lang w:eastAsia="es-CO"/>
              </w:rPr>
              <w:br/>
              <w:t>No se encuentra establecidos los lineamientos para la conciliación de cartera</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CO"/>
              </w:rPr>
              <w:lastRenderedPageBreak/>
              <w:t>8.2</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CO"/>
              </w:rPr>
              <w:t>¿SE CUMPLE CON EL PROCEDIMIENTO?</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PARCIALMENTE</w:t>
            </w:r>
          </w:p>
        </w:tc>
        <w:tc>
          <w:tcPr>
            <w:tcW w:w="4824" w:type="dxa"/>
          </w:tcPr>
          <w:p w:rsidR="00DD24A3" w:rsidRPr="006F2305" w:rsidRDefault="00DD24A3" w:rsidP="00DD24A3">
            <w:pPr>
              <w:widowControl/>
              <w:autoSpaceDE/>
              <w:autoSpaceDN/>
              <w:jc w:val="both"/>
              <w:rPr>
                <w:rFonts w:ascii="Arial" w:eastAsia="Times New Roman" w:hAnsi="Arial" w:cs="Arial"/>
                <w:sz w:val="20"/>
                <w:szCs w:val="20"/>
                <w:lang w:eastAsia="es-CO"/>
              </w:rPr>
            </w:pPr>
            <w:r w:rsidRPr="006F2305">
              <w:rPr>
                <w:rFonts w:ascii="Arial" w:eastAsia="Times New Roman" w:hAnsi="Arial" w:cs="Arial"/>
                <w:sz w:val="20"/>
                <w:szCs w:val="20"/>
                <w:lang w:eastAsia="es-CO"/>
              </w:rPr>
              <w:t>En revisión realizada los días 15 y 16 de febrero de 2023 por parte de la Oficina de Control Interno, se observó que se cuenta con la información de las áreas productoras para el cierre contable. Sin embargo, al corte de 31/12/2022 se encuentran bienes sin valor, así:</w:t>
            </w:r>
          </w:p>
          <w:p w:rsidR="00DD24A3" w:rsidRPr="006F2305" w:rsidRDefault="00DD24A3" w:rsidP="00DD24A3">
            <w:pPr>
              <w:widowControl/>
              <w:autoSpaceDE/>
              <w:autoSpaceDN/>
              <w:jc w:val="both"/>
              <w:rPr>
                <w:rFonts w:ascii="Arial" w:eastAsia="Times New Roman" w:hAnsi="Arial" w:cs="Arial"/>
                <w:sz w:val="20"/>
                <w:szCs w:val="20"/>
                <w:lang w:eastAsia="es-CO"/>
              </w:rPr>
            </w:pPr>
            <w:r w:rsidRPr="006F2305">
              <w:rPr>
                <w:rFonts w:ascii="Arial" w:eastAsia="Times New Roman" w:hAnsi="Arial" w:cs="Arial"/>
                <w:sz w:val="20"/>
                <w:szCs w:val="20"/>
                <w:lang w:eastAsia="es-CO"/>
              </w:rPr>
              <w:br/>
              <w:t xml:space="preserve">- </w:t>
            </w:r>
            <w:r w:rsidRPr="006F2305">
              <w:rPr>
                <w:rFonts w:ascii="Arial" w:eastAsia="Times New Roman" w:hAnsi="Arial" w:cs="Arial"/>
                <w:bCs/>
                <w:sz w:val="20"/>
                <w:szCs w:val="20"/>
                <w:lang w:eastAsia="es-CO"/>
              </w:rPr>
              <w:t xml:space="preserve">Inmuebles: </w:t>
            </w:r>
            <w:r w:rsidRPr="006F2305">
              <w:rPr>
                <w:rFonts w:ascii="Arial" w:eastAsia="Times New Roman" w:hAnsi="Arial" w:cs="Arial"/>
                <w:sz w:val="20"/>
                <w:szCs w:val="20"/>
                <w:lang w:eastAsia="es-CO"/>
              </w:rPr>
              <w:t xml:space="preserve">   3.393 no están valorados con base en avalúo comercial o metodología de estimación de valor desarrollada internamente por la Gerencia Técnica, correspondiente al 12,71% del total de bienes inmuebles no sociales (26.551).</w:t>
            </w:r>
            <w:r w:rsidRPr="006F2305">
              <w:rPr>
                <w:rFonts w:ascii="Arial" w:eastAsia="Times New Roman" w:hAnsi="Arial" w:cs="Arial"/>
                <w:sz w:val="20"/>
                <w:szCs w:val="20"/>
                <w:lang w:eastAsia="es-CO"/>
              </w:rPr>
              <w:br/>
            </w:r>
          </w:p>
          <w:p w:rsidR="00DD24A3" w:rsidRPr="006F2305" w:rsidRDefault="00DD24A3" w:rsidP="00DD24A3">
            <w:pPr>
              <w:widowControl/>
              <w:autoSpaceDE/>
              <w:autoSpaceDN/>
              <w:jc w:val="both"/>
              <w:rPr>
                <w:rFonts w:ascii="Arial" w:eastAsia="Times New Roman" w:hAnsi="Arial" w:cs="Arial"/>
                <w:sz w:val="20"/>
                <w:szCs w:val="20"/>
                <w:lang w:eastAsia="es-CO"/>
              </w:rPr>
            </w:pPr>
            <w:r w:rsidRPr="006F2305">
              <w:rPr>
                <w:rFonts w:ascii="Arial" w:eastAsia="Times New Roman" w:hAnsi="Arial" w:cs="Arial"/>
                <w:sz w:val="20"/>
                <w:szCs w:val="20"/>
                <w:lang w:eastAsia="es-CO"/>
              </w:rPr>
              <w:t xml:space="preserve">- </w:t>
            </w:r>
            <w:r w:rsidRPr="006F2305">
              <w:rPr>
                <w:rFonts w:ascii="Arial" w:eastAsia="Times New Roman" w:hAnsi="Arial" w:cs="Arial"/>
                <w:bCs/>
                <w:sz w:val="20"/>
                <w:szCs w:val="20"/>
                <w:lang w:eastAsia="es-CO"/>
              </w:rPr>
              <w:t>Sociedades:</w:t>
            </w:r>
            <w:r w:rsidRPr="006F2305">
              <w:rPr>
                <w:rFonts w:ascii="Arial" w:eastAsia="Times New Roman" w:hAnsi="Arial" w:cs="Arial"/>
                <w:sz w:val="20"/>
                <w:szCs w:val="20"/>
                <w:lang w:eastAsia="es-CO"/>
              </w:rPr>
              <w:t xml:space="preserve"> XXXX sin valor.</w:t>
            </w:r>
            <w:r w:rsidRPr="006F2305">
              <w:rPr>
                <w:rFonts w:ascii="Arial" w:eastAsia="Times New Roman" w:hAnsi="Arial" w:cs="Arial"/>
                <w:sz w:val="20"/>
                <w:szCs w:val="20"/>
                <w:lang w:eastAsia="es-CO"/>
              </w:rPr>
              <w:br/>
            </w:r>
          </w:p>
          <w:p w:rsidR="00DD24A3" w:rsidRPr="006F2305" w:rsidRDefault="00DD24A3" w:rsidP="00DD24A3">
            <w:pPr>
              <w:widowControl/>
              <w:autoSpaceDE/>
              <w:autoSpaceDN/>
              <w:jc w:val="both"/>
              <w:rPr>
                <w:rFonts w:ascii="Arial" w:eastAsia="Times New Roman" w:hAnsi="Arial" w:cs="Arial"/>
                <w:sz w:val="20"/>
                <w:szCs w:val="20"/>
                <w:lang w:eastAsia="es-CO"/>
              </w:rPr>
            </w:pPr>
            <w:r w:rsidRPr="006F2305">
              <w:rPr>
                <w:rFonts w:ascii="Arial" w:eastAsia="Times New Roman" w:hAnsi="Arial" w:cs="Arial"/>
                <w:sz w:val="20"/>
                <w:szCs w:val="20"/>
                <w:lang w:eastAsia="es-CO"/>
              </w:rPr>
              <w:t xml:space="preserve">- </w:t>
            </w:r>
            <w:r w:rsidRPr="006F2305">
              <w:rPr>
                <w:rFonts w:ascii="Arial" w:eastAsia="Times New Roman" w:hAnsi="Arial" w:cs="Arial"/>
                <w:bCs/>
                <w:sz w:val="20"/>
                <w:szCs w:val="20"/>
                <w:lang w:eastAsia="es-CO"/>
              </w:rPr>
              <w:t xml:space="preserve">Muebles: </w:t>
            </w:r>
            <w:r w:rsidRPr="006F2305">
              <w:rPr>
                <w:rFonts w:ascii="Arial" w:eastAsia="Times New Roman" w:hAnsi="Arial" w:cs="Arial"/>
                <w:sz w:val="20"/>
                <w:szCs w:val="20"/>
                <w:lang w:eastAsia="es-CO"/>
              </w:rPr>
              <w:t>De los 10.978 bienes registrados, se encuentran sin valor 1.380 que corresponden al 13%</w:t>
            </w:r>
            <w:r w:rsidRPr="006F2305">
              <w:rPr>
                <w:rFonts w:ascii="Arial" w:eastAsia="Times New Roman" w:hAnsi="Arial" w:cs="Arial"/>
                <w:sz w:val="20"/>
                <w:szCs w:val="20"/>
                <w:lang w:eastAsia="es-CO"/>
              </w:rPr>
              <w:br/>
            </w:r>
            <w:r w:rsidRPr="006F2305">
              <w:rPr>
                <w:rFonts w:ascii="Arial" w:eastAsia="Times New Roman" w:hAnsi="Arial" w:cs="Arial"/>
                <w:sz w:val="20"/>
                <w:szCs w:val="20"/>
                <w:lang w:eastAsia="es-CO"/>
              </w:rPr>
              <w:br/>
              <w:t xml:space="preserve">A la fecha de la evaluación se encuentra en procesos de firma la conciliación de inmuebles </w:t>
            </w:r>
            <w:proofErr w:type="gramStart"/>
            <w:r w:rsidRPr="006F2305">
              <w:rPr>
                <w:rFonts w:ascii="Arial" w:eastAsia="Times New Roman" w:hAnsi="Arial" w:cs="Arial"/>
                <w:sz w:val="20"/>
                <w:szCs w:val="20"/>
                <w:lang w:eastAsia="es-CO"/>
              </w:rPr>
              <w:t>y  la</w:t>
            </w:r>
            <w:proofErr w:type="gramEnd"/>
            <w:r w:rsidRPr="006F2305">
              <w:rPr>
                <w:rFonts w:ascii="Arial" w:eastAsia="Times New Roman" w:hAnsi="Arial" w:cs="Arial"/>
                <w:sz w:val="20"/>
                <w:szCs w:val="20"/>
                <w:lang w:eastAsia="es-CO"/>
              </w:rPr>
              <w:t xml:space="preserve"> de sociedades.</w:t>
            </w:r>
          </w:p>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br/>
              <w:t xml:space="preserve">Se observa que se continúan dejando valores por identificar en la cuenta 24072000010001 RECAUDOS POR IDENTIFICAR BANCO AGRARIO 9263, la cual tiene al corte de 31/12/2022 un saldo por valor de </w:t>
            </w:r>
            <w:r>
              <w:rPr>
                <w:rFonts w:ascii="Arial" w:eastAsia="Times New Roman" w:hAnsi="Arial" w:cs="Arial"/>
                <w:sz w:val="20"/>
                <w:szCs w:val="20"/>
                <w:lang w:eastAsia="es-CO"/>
              </w:rPr>
              <w:t>$</w:t>
            </w:r>
            <w:r w:rsidRPr="006F2305">
              <w:rPr>
                <w:rFonts w:ascii="Arial" w:eastAsia="Times New Roman" w:hAnsi="Arial" w:cs="Arial"/>
                <w:sz w:val="20"/>
                <w:szCs w:val="20"/>
                <w:lang w:eastAsia="es-CO"/>
              </w:rPr>
              <w:t>26.651'521.773.3. Se cuenta con un PM de la vigencia 2021 activo de la CGR.</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CO"/>
              </w:rPr>
              <w:t>10.2</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CO"/>
              </w:rPr>
              <w:t xml:space="preserve">¿EXISTEN MECANISMOS PARA VERIFICAR EL CUMPLIMIENTO DE ESTAS DIRECTRICES, </w:t>
            </w:r>
            <w:proofErr w:type="gramStart"/>
            <w:r w:rsidRPr="006F2305">
              <w:rPr>
                <w:rFonts w:ascii="Arial" w:eastAsia="Times New Roman" w:hAnsi="Arial" w:cs="Arial"/>
                <w:sz w:val="20"/>
                <w:szCs w:val="20"/>
                <w:lang w:eastAsia="es-CO"/>
              </w:rPr>
              <w:t>PROCEDIMIENTOS, INSTRUCCIONES, O LINEAMIENTOS?</w:t>
            </w:r>
            <w:proofErr w:type="gramEnd"/>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PARCIALMENTE</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En la vigencia 2022, el Comité de Sostenibilidad Contable sesionó dos veces cumpliendo con el art.5 de la Resolución No.374 de 2018.  No obstante, en dichas sesiones no se presentaron resultados de los análisis contables u otro tipo de información relevante según las funciones de dicha instancia.</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CO"/>
              </w:rPr>
              <w:t>24.3</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CO"/>
              </w:rPr>
              <w:t>¿SE TIENEN EN CUENTA LOS ESTADOS FINANCIEROS PARA LA TOMA DE DECISIONES EN LA GESTIÓN DE LA ENTIDAD?</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NO</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Se presenta al Consejo de Estupefacientes la ejecución presupuestal del FRISCO. No obstante, los estados financieros certificados no se presentan o se aprueban ante otra instancia.</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bCs/>
                <w:sz w:val="20"/>
                <w:szCs w:val="20"/>
                <w:lang w:eastAsia="es-CO"/>
              </w:rPr>
              <w:t>26</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bCs/>
                <w:sz w:val="20"/>
                <w:szCs w:val="20"/>
                <w:lang w:eastAsia="es-CO"/>
              </w:rPr>
              <w:t>¿SE UTILIZA UN SISTEMA DE INDICADORES PARA ANALIZAR E INTERPRETAR LA REALIDAD FINANCIERA DE LA ENTIDAD?</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NO</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 xml:space="preserve">En el Comité de Técnico Administrativo y Financiero se presentaron los indicadores a corte de marzo del 2022, sin embargo, falta la implementación en el aplicativo SEVEN para la generación de indicadores mediante un reporte de </w:t>
            </w:r>
            <w:proofErr w:type="spellStart"/>
            <w:r w:rsidRPr="006F2305">
              <w:rPr>
                <w:rFonts w:ascii="Arial" w:eastAsia="Times New Roman" w:hAnsi="Arial" w:cs="Arial"/>
                <w:sz w:val="20"/>
                <w:szCs w:val="20"/>
                <w:lang w:eastAsia="es-CO"/>
              </w:rPr>
              <w:t>Power</w:t>
            </w:r>
            <w:proofErr w:type="spellEnd"/>
            <w:r w:rsidRPr="006F2305">
              <w:rPr>
                <w:rFonts w:ascii="Arial" w:eastAsia="Times New Roman" w:hAnsi="Arial" w:cs="Arial"/>
                <w:sz w:val="20"/>
                <w:szCs w:val="20"/>
                <w:lang w:eastAsia="es-CO"/>
              </w:rPr>
              <w:t xml:space="preserve"> BI que permita un análisis permanente. Así mismo, debido a la naturaleza del Fondo FRISCO, tampoco se ha requerido por parte de algún interesado realizar o presentar información con indicadores por lo cual no se utilizan para interpretar la realidad financiera del Fondo.</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CO"/>
              </w:rPr>
              <w:t>26.1</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CO"/>
              </w:rPr>
              <w:t xml:space="preserve">¿LOS INDICADORES SE AJUSTAN A LAS </w:t>
            </w:r>
            <w:r w:rsidRPr="006F2305">
              <w:rPr>
                <w:rFonts w:ascii="Arial" w:eastAsia="Times New Roman" w:hAnsi="Arial" w:cs="Arial"/>
                <w:sz w:val="20"/>
                <w:szCs w:val="20"/>
                <w:lang w:eastAsia="es-CO"/>
              </w:rPr>
              <w:lastRenderedPageBreak/>
              <w:t>NECESIDADES DE LA ENTIDAD Y DEL PROCESO CONTABLE?</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lastRenderedPageBreak/>
              <w:t>NO</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 xml:space="preserve">En el Comité de Técnico Administrativo y Financiero se presentaron los indicadores a corte de marzo del </w:t>
            </w:r>
            <w:r w:rsidRPr="006F2305">
              <w:rPr>
                <w:rFonts w:ascii="Arial" w:eastAsia="Times New Roman" w:hAnsi="Arial" w:cs="Arial"/>
                <w:sz w:val="20"/>
                <w:szCs w:val="20"/>
                <w:lang w:eastAsia="es-CO"/>
              </w:rPr>
              <w:lastRenderedPageBreak/>
              <w:t xml:space="preserve">2022, sin embargo, falta la implementación en el aplicativo SEVEN para la generación de indicadores mediante un reporte de </w:t>
            </w:r>
            <w:proofErr w:type="spellStart"/>
            <w:r w:rsidRPr="006F2305">
              <w:rPr>
                <w:rFonts w:ascii="Arial" w:eastAsia="Times New Roman" w:hAnsi="Arial" w:cs="Arial"/>
                <w:sz w:val="20"/>
                <w:szCs w:val="20"/>
                <w:lang w:eastAsia="es-CO"/>
              </w:rPr>
              <w:t>Power</w:t>
            </w:r>
            <w:proofErr w:type="spellEnd"/>
            <w:r w:rsidRPr="006F2305">
              <w:rPr>
                <w:rFonts w:ascii="Arial" w:eastAsia="Times New Roman" w:hAnsi="Arial" w:cs="Arial"/>
                <w:sz w:val="20"/>
                <w:szCs w:val="20"/>
                <w:lang w:eastAsia="es-CO"/>
              </w:rPr>
              <w:t xml:space="preserve"> BI que permita un análisis permanente. Así mismo, debido a la naturaleza del Fondo FRISCO, tampoco se ha requerido por parte de algún interesado realizar o presentar información con indicadores por lo cual no se utilizan para interpretar la realidad financiera del Fondo.</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CO"/>
              </w:rPr>
              <w:lastRenderedPageBreak/>
              <w:t>26.2</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CO"/>
              </w:rPr>
              <w:t>¿SE VERIFICA LA FIABILIDAD DE LA INFORMACIÓN UTILIZADA COMO INSUMO PARA LA ELABORACIÓN DEL INDICADOR?</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NO</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 xml:space="preserve">En el Comité de Técnico Administrativo y Financiero se presentaron los indicadores a corte de marzo del 2022, sin embargo, falta la implementación en el aplicativo SEVEN para la generación de indicadores mediante un reporte de </w:t>
            </w:r>
            <w:proofErr w:type="spellStart"/>
            <w:r w:rsidRPr="006F2305">
              <w:rPr>
                <w:rFonts w:ascii="Arial" w:eastAsia="Times New Roman" w:hAnsi="Arial" w:cs="Arial"/>
                <w:sz w:val="20"/>
                <w:szCs w:val="20"/>
                <w:lang w:eastAsia="es-CO"/>
              </w:rPr>
              <w:t>Power</w:t>
            </w:r>
            <w:proofErr w:type="spellEnd"/>
            <w:r w:rsidRPr="006F2305">
              <w:rPr>
                <w:rFonts w:ascii="Arial" w:eastAsia="Times New Roman" w:hAnsi="Arial" w:cs="Arial"/>
                <w:sz w:val="20"/>
                <w:szCs w:val="20"/>
                <w:lang w:eastAsia="es-CO"/>
              </w:rPr>
              <w:t xml:space="preserve"> BI que permita un análisis permanente. Así mismo, debido a la naturaleza del Fondo FRISCO, tampoco se ha requerido por parte de algún interesado realizar o presentar información con indicadores por lo cual no se utilizan para interpretar la realidad financiera del Fondo.</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bCs/>
                <w:sz w:val="20"/>
                <w:szCs w:val="20"/>
                <w:lang w:eastAsia="es-CO"/>
              </w:rPr>
              <w:t>28</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bCs/>
                <w:sz w:val="20"/>
                <w:szCs w:val="20"/>
                <w:lang w:eastAsia="es-CO"/>
              </w:rPr>
              <w:t>¿PARA LAS ENTIDADES OBLIGADAS A REALIZAR RENDICIÓN DE CUENTAS, SE PRESENTAN LOS ESTADOS FINANCIEROS EN LA MISMA? SI LA ENTIDAD NO ESTÁ OBLIGADA A RENDICIÓN DE CUENTAS, ¿SE PREPARA INFORMACIÓN FINANCIERA CON PROPÓSITOS ESPECÍFICOS QUE PROPENDAN POR LA TRANSPARENCIA?</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NO</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En los ejercicios de rendición de cuentas, así como en la audiencia anual de rendición de cuentas realizada el 19/12/2022 (</w:t>
            </w:r>
            <w:r w:rsidRPr="006F2305">
              <w:rPr>
                <w:rFonts w:ascii="Arial" w:eastAsia="Times New Roman" w:hAnsi="Arial" w:cs="Arial"/>
                <w:sz w:val="20"/>
                <w:szCs w:val="20"/>
                <w:u w:val="single"/>
                <w:lang w:eastAsia="es-CO"/>
              </w:rPr>
              <w:t>https://www.youtube.com/watch?v=YiY6nK5Ezms)</w:t>
            </w:r>
            <w:r w:rsidRPr="006F2305">
              <w:rPr>
                <w:rFonts w:ascii="Arial" w:eastAsia="Times New Roman" w:hAnsi="Arial" w:cs="Arial"/>
                <w:sz w:val="20"/>
                <w:szCs w:val="20"/>
                <w:lang w:eastAsia="es-CO"/>
              </w:rPr>
              <w:t xml:space="preserve">, no se presentaron los estados financieros del FRISCO, así como tampoco se mencionó la preparación información con propósitos específicos.   pese haberlo sugerido en Comité Directivo por parte de la Oficina de Control Interno el miércoles 07 de diciembre de 2022 como enfoque hacia la prevención. </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CO"/>
              </w:rPr>
              <w:t>28.1</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CO"/>
              </w:rPr>
              <w:t>¿SE VERIFICA LA CONSISTENCIA DE LAS CIFRAS PRESENTADAS EN LOS ESTADOS FINANCIEROS CON LAS PRESENTADAS EN LA RENDICIÓN DE CUENTAS O LA PRESENTADA PARA PROPÓSITOS ESPECÍFICOS?</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NO</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En los ejercicios de rendición de cuentas, así como en la audiencia anual de rendición de cuentas realizada el 19/12/2022 (</w:t>
            </w:r>
            <w:r w:rsidRPr="006F2305">
              <w:rPr>
                <w:rFonts w:ascii="Arial" w:eastAsia="Times New Roman" w:hAnsi="Arial" w:cs="Arial"/>
                <w:sz w:val="20"/>
                <w:szCs w:val="20"/>
                <w:u w:val="single"/>
                <w:lang w:eastAsia="es-CO"/>
              </w:rPr>
              <w:t>https://www.youtube.com/watch?v=YiY6nK5Ezms)</w:t>
            </w:r>
            <w:r w:rsidRPr="006F2305">
              <w:rPr>
                <w:rFonts w:ascii="Arial" w:eastAsia="Times New Roman" w:hAnsi="Arial" w:cs="Arial"/>
                <w:sz w:val="20"/>
                <w:szCs w:val="20"/>
                <w:lang w:eastAsia="es-CO"/>
              </w:rPr>
              <w:t xml:space="preserve">, no se presentaron los estados financieros del FRISCO, así como tampoco se mencionó la preparación información con propósitos específicos.   pese haberlo sugerido en Comité Directivo por parte de la Oficina de Control Interno el miércoles 07 de diciembre de 2022 como enfoque hacia la prevención. </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sz w:val="20"/>
                <w:szCs w:val="20"/>
                <w:lang w:eastAsia="es-CO"/>
              </w:rPr>
              <w:t>28.2</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sz w:val="20"/>
                <w:szCs w:val="20"/>
                <w:lang w:eastAsia="es-CO"/>
              </w:rPr>
              <w:t>¿SE PRESENTAN EXPLICACIONES QUE FACILITEN A LOS DIFERENTES USUARIOS LA COMPRENSIÓN DE LA INFORMACIÓN FINANCIERA PRESENTADA?</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NO</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En los ejercicios de rendición de cuentas, así como en la audiencia anual de rendición de cuentas realizada el 19/12/2022 (</w:t>
            </w:r>
            <w:r w:rsidRPr="006F2305">
              <w:rPr>
                <w:rFonts w:ascii="Arial" w:eastAsia="Times New Roman" w:hAnsi="Arial" w:cs="Arial"/>
                <w:sz w:val="20"/>
                <w:szCs w:val="20"/>
                <w:u w:val="single"/>
                <w:lang w:eastAsia="es-CO"/>
              </w:rPr>
              <w:t>https://www.youtube.com/watch?v=YiY6nK5Ezms)</w:t>
            </w:r>
            <w:r w:rsidRPr="006F2305">
              <w:rPr>
                <w:rFonts w:ascii="Arial" w:eastAsia="Times New Roman" w:hAnsi="Arial" w:cs="Arial"/>
                <w:sz w:val="20"/>
                <w:szCs w:val="20"/>
                <w:lang w:eastAsia="es-CO"/>
              </w:rPr>
              <w:t xml:space="preserve">, no se presentaron los estados financieros del FRISCO, así como tampoco se mencionó la preparación información con propósitos específicos.   pese haberlo sugerido en Comité Directivo por parte de la Oficina de Control Interno el miércoles 07 de diciembre de 2022 como enfoque hacia la prevención. </w:t>
            </w:r>
          </w:p>
        </w:tc>
      </w:tr>
      <w:tr w:rsidR="00DD24A3" w:rsidRPr="006F2305" w:rsidTr="00DD24A3">
        <w:tc>
          <w:tcPr>
            <w:tcW w:w="1195" w:type="dxa"/>
          </w:tcPr>
          <w:p w:rsidR="00DD24A3" w:rsidRPr="006F2305" w:rsidRDefault="00DD24A3" w:rsidP="00DD24A3">
            <w:pPr>
              <w:widowControl/>
              <w:autoSpaceDE/>
              <w:autoSpaceDN/>
              <w:jc w:val="center"/>
              <w:rPr>
                <w:rFonts w:ascii="Arial" w:eastAsia="Calibri" w:hAnsi="Arial" w:cs="Arial"/>
                <w:sz w:val="20"/>
                <w:szCs w:val="20"/>
                <w:lang w:eastAsia="es-ES"/>
              </w:rPr>
            </w:pPr>
            <w:r w:rsidRPr="006F2305">
              <w:rPr>
                <w:rFonts w:ascii="Arial" w:eastAsia="Times New Roman" w:hAnsi="Arial" w:cs="Arial"/>
                <w:bCs/>
                <w:sz w:val="20"/>
                <w:szCs w:val="20"/>
                <w:lang w:eastAsia="es-CO"/>
              </w:rPr>
              <w:lastRenderedPageBreak/>
              <w:t>29</w:t>
            </w:r>
          </w:p>
        </w:tc>
        <w:tc>
          <w:tcPr>
            <w:tcW w:w="2797" w:type="dxa"/>
          </w:tcPr>
          <w:p w:rsidR="00DD24A3" w:rsidRPr="006F2305" w:rsidRDefault="00DD24A3" w:rsidP="00DD24A3">
            <w:pPr>
              <w:widowControl/>
              <w:autoSpaceDE/>
              <w:autoSpaceDN/>
              <w:ind w:right="62"/>
              <w:jc w:val="both"/>
              <w:rPr>
                <w:rFonts w:ascii="Arial" w:eastAsia="Calibri" w:hAnsi="Arial" w:cs="Arial"/>
                <w:sz w:val="20"/>
                <w:szCs w:val="20"/>
                <w:lang w:eastAsia="es-ES"/>
              </w:rPr>
            </w:pPr>
            <w:r w:rsidRPr="006F2305">
              <w:rPr>
                <w:rFonts w:ascii="Arial" w:eastAsia="Times New Roman" w:hAnsi="Arial" w:cs="Arial"/>
                <w:bCs/>
                <w:sz w:val="20"/>
                <w:szCs w:val="20"/>
                <w:lang w:eastAsia="es-CO"/>
              </w:rPr>
              <w:t>¿EXISTEN MECANISMOS DE IDENTIFICACIÓN Y MONITOREO DE LOS RIESGOS DE ÍNDOLE CONTABLE?</w:t>
            </w:r>
          </w:p>
        </w:tc>
        <w:tc>
          <w:tcPr>
            <w:tcW w:w="1811" w:type="dxa"/>
          </w:tcPr>
          <w:p w:rsidR="00DD24A3" w:rsidRPr="006F2305" w:rsidRDefault="00DD24A3" w:rsidP="00DD24A3">
            <w:pPr>
              <w:widowControl/>
              <w:autoSpaceDE/>
              <w:autoSpaceDN/>
              <w:ind w:right="-4"/>
              <w:jc w:val="center"/>
              <w:rPr>
                <w:rFonts w:ascii="Arial" w:eastAsia="Calibri" w:hAnsi="Arial" w:cs="Arial"/>
                <w:b/>
                <w:sz w:val="20"/>
                <w:szCs w:val="20"/>
                <w:lang w:eastAsia="es-ES"/>
              </w:rPr>
            </w:pPr>
            <w:r w:rsidRPr="006F2305">
              <w:rPr>
                <w:rFonts w:ascii="Arial" w:eastAsia="Times New Roman" w:hAnsi="Arial" w:cs="Arial"/>
                <w:b/>
                <w:sz w:val="20"/>
                <w:szCs w:val="20"/>
                <w:lang w:eastAsia="es-CO"/>
              </w:rPr>
              <w:t>PARCIALMENTE</w:t>
            </w:r>
          </w:p>
        </w:tc>
        <w:tc>
          <w:tcPr>
            <w:tcW w:w="4824" w:type="dxa"/>
          </w:tcPr>
          <w:p w:rsidR="00DD24A3" w:rsidRPr="006F2305" w:rsidRDefault="00DD24A3" w:rsidP="00DD24A3">
            <w:pPr>
              <w:widowControl/>
              <w:autoSpaceDE/>
              <w:autoSpaceDN/>
              <w:jc w:val="both"/>
              <w:rPr>
                <w:rFonts w:ascii="Arial" w:eastAsia="Calibri" w:hAnsi="Arial" w:cs="Arial"/>
                <w:sz w:val="20"/>
                <w:szCs w:val="20"/>
                <w:lang w:eastAsia="es-ES"/>
              </w:rPr>
            </w:pPr>
            <w:r w:rsidRPr="006F2305">
              <w:rPr>
                <w:rFonts w:ascii="Arial" w:eastAsia="Times New Roman" w:hAnsi="Arial" w:cs="Arial"/>
                <w:sz w:val="20"/>
                <w:szCs w:val="20"/>
                <w:lang w:eastAsia="es-CO"/>
              </w:rPr>
              <w:t>De acuerdo con el Mapa de Riesgos Operacionales de SAE V. 4 del 2022. El macroproceso de Gestión Financiera identificó 11 riesgos, de los cuales tres (3) hacen referencia al proceso contable y los demás a los procesos de tesorería y presupuesto. Se observa, que de acuerdo con lo descrito en el procedimiento para la Evaluación del Control Interno Contable se presentan debilidades en la identificación de riesgos tales como: Revelaciones, Notas a los Estados Financieros y Rendición de Cuentas.</w:t>
            </w:r>
          </w:p>
        </w:tc>
      </w:tr>
    </w:tbl>
    <w:p w:rsidR="00DD24A3" w:rsidRPr="006F2305" w:rsidRDefault="00DD24A3" w:rsidP="00DD24A3">
      <w:pPr>
        <w:widowControl/>
        <w:autoSpaceDE/>
        <w:autoSpaceDN/>
        <w:ind w:left="-142" w:right="-518"/>
        <w:jc w:val="both"/>
        <w:rPr>
          <w:rFonts w:ascii="Arial" w:eastAsia="Calibri"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b/>
          <w:sz w:val="28"/>
          <w:szCs w:val="28"/>
          <w:lang w:eastAsia="es-ES"/>
        </w:rPr>
      </w:pPr>
      <w:r w:rsidRPr="006F2305">
        <w:rPr>
          <w:rFonts w:ascii="Arial" w:eastAsia="Times New Roman" w:hAnsi="Arial" w:cs="Arial"/>
          <w:b/>
          <w:sz w:val="28"/>
          <w:szCs w:val="28"/>
          <w:lang w:eastAsia="es-ES"/>
        </w:rPr>
        <w:t>C.- CUMPLIMIENTO DE LOS PLANES DE MEJORAMIENTO SUSCRITOS CON LA CONTRALORÍA GENERAL DE LA REPÚBLICA A 31 DE DICIEMBRE DE 2022.</w:t>
      </w:r>
    </w:p>
    <w:p w:rsidR="00DD24A3" w:rsidRPr="006F2305" w:rsidRDefault="00DD24A3" w:rsidP="00DD24A3">
      <w:pPr>
        <w:widowControl/>
        <w:autoSpaceDE/>
        <w:autoSpaceDN/>
        <w:ind w:left="-142" w:right="-518"/>
        <w:jc w:val="both"/>
        <w:rPr>
          <w:rFonts w:ascii="Arial" w:eastAsia="Times New Roman" w:hAnsi="Arial" w:cs="Arial"/>
          <w:b/>
          <w:sz w:val="28"/>
          <w:szCs w:val="28"/>
          <w:lang w:eastAsia="es-ES"/>
        </w:rPr>
      </w:pPr>
    </w:p>
    <w:tbl>
      <w:tblPr>
        <w:tblStyle w:val="Tablaconcuadrcula67"/>
        <w:tblW w:w="10627" w:type="dxa"/>
        <w:tblInd w:w="-142" w:type="dxa"/>
        <w:tblLook w:val="04A0" w:firstRow="1" w:lastRow="0" w:firstColumn="1" w:lastColumn="0" w:noHBand="0" w:noVBand="1"/>
      </w:tblPr>
      <w:tblGrid>
        <w:gridCol w:w="1697"/>
        <w:gridCol w:w="3260"/>
        <w:gridCol w:w="1843"/>
        <w:gridCol w:w="1984"/>
        <w:gridCol w:w="1843"/>
      </w:tblGrid>
      <w:tr w:rsidR="00DD24A3" w:rsidRPr="006F2305" w:rsidTr="00DD24A3">
        <w:tc>
          <w:tcPr>
            <w:tcW w:w="1697" w:type="dxa"/>
          </w:tcPr>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 xml:space="preserve">TOTAL, HALLAZGOS SEGÚN LA </w:t>
            </w:r>
          </w:p>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CGR</w:t>
            </w:r>
          </w:p>
          <w:p w:rsidR="00DD24A3" w:rsidRPr="006F2305" w:rsidRDefault="00DD24A3" w:rsidP="00DD24A3">
            <w:pPr>
              <w:ind w:right="-50"/>
              <w:jc w:val="center"/>
              <w:outlineLvl w:val="0"/>
              <w:rPr>
                <w:rFonts w:ascii="Arial" w:eastAsia="Arial" w:hAnsi="Arial" w:cs="Arial"/>
                <w:b/>
                <w:bCs/>
                <w:sz w:val="18"/>
                <w:szCs w:val="18"/>
              </w:rPr>
            </w:pPr>
          </w:p>
        </w:tc>
        <w:tc>
          <w:tcPr>
            <w:tcW w:w="3260" w:type="dxa"/>
          </w:tcPr>
          <w:p w:rsidR="00DD24A3" w:rsidRPr="006F2305" w:rsidRDefault="00DD24A3" w:rsidP="00DD24A3">
            <w:pPr>
              <w:ind w:right="-50"/>
              <w:jc w:val="center"/>
              <w:outlineLvl w:val="0"/>
              <w:rPr>
                <w:rFonts w:ascii="Arial" w:eastAsia="Arial" w:hAnsi="Arial" w:cs="Arial"/>
                <w:b/>
                <w:bCs/>
                <w:sz w:val="18"/>
                <w:szCs w:val="18"/>
              </w:rPr>
            </w:pPr>
            <w:proofErr w:type="gramStart"/>
            <w:r w:rsidRPr="006F2305">
              <w:rPr>
                <w:rFonts w:ascii="Arial" w:eastAsia="Arial" w:hAnsi="Arial" w:cs="Arial"/>
                <w:b/>
                <w:bCs/>
                <w:sz w:val="18"/>
                <w:szCs w:val="18"/>
              </w:rPr>
              <w:t>TOTAL</w:t>
            </w:r>
            <w:proofErr w:type="gramEnd"/>
            <w:r w:rsidRPr="006F2305">
              <w:rPr>
                <w:rFonts w:ascii="Arial" w:eastAsia="Arial" w:hAnsi="Arial" w:cs="Arial"/>
                <w:b/>
                <w:bCs/>
                <w:sz w:val="18"/>
                <w:szCs w:val="18"/>
              </w:rPr>
              <w:t xml:space="preserve"> DE METAS PROPUESTAS PARA SUBSANAR LOS HALLAZGOS FORMULADOS POR LA CGR</w:t>
            </w:r>
          </w:p>
        </w:tc>
        <w:tc>
          <w:tcPr>
            <w:tcW w:w="1843" w:type="dxa"/>
          </w:tcPr>
          <w:p w:rsidR="00DD24A3" w:rsidRPr="006F2305" w:rsidRDefault="00DD24A3" w:rsidP="00DD24A3">
            <w:pPr>
              <w:ind w:right="-50"/>
              <w:jc w:val="center"/>
              <w:outlineLvl w:val="0"/>
              <w:rPr>
                <w:rFonts w:ascii="Arial" w:eastAsia="Arial" w:hAnsi="Arial" w:cs="Arial"/>
                <w:b/>
                <w:bCs/>
                <w:sz w:val="18"/>
                <w:szCs w:val="18"/>
              </w:rPr>
            </w:pPr>
            <w:proofErr w:type="gramStart"/>
            <w:r w:rsidRPr="006F2305">
              <w:rPr>
                <w:rFonts w:ascii="Arial" w:eastAsia="Arial" w:hAnsi="Arial" w:cs="Arial"/>
                <w:b/>
                <w:bCs/>
                <w:sz w:val="18"/>
                <w:szCs w:val="18"/>
              </w:rPr>
              <w:t>TOTAL</w:t>
            </w:r>
            <w:proofErr w:type="gramEnd"/>
            <w:r w:rsidRPr="006F2305">
              <w:rPr>
                <w:rFonts w:ascii="Arial" w:eastAsia="Arial" w:hAnsi="Arial" w:cs="Arial"/>
                <w:b/>
                <w:bCs/>
                <w:sz w:val="18"/>
                <w:szCs w:val="18"/>
              </w:rPr>
              <w:t xml:space="preserve"> DE METAS CUMPLIDAS A 31/12/2022</w:t>
            </w:r>
          </w:p>
        </w:tc>
        <w:tc>
          <w:tcPr>
            <w:tcW w:w="1984" w:type="dxa"/>
          </w:tcPr>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 xml:space="preserve">CUMPLIMIENTO DEL PLAN EN % </w:t>
            </w:r>
          </w:p>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A 31/12/2022</w:t>
            </w:r>
          </w:p>
        </w:tc>
        <w:tc>
          <w:tcPr>
            <w:tcW w:w="1843" w:type="dxa"/>
          </w:tcPr>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 xml:space="preserve">AVANCE DEL PLAN EN % </w:t>
            </w:r>
          </w:p>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A 31/12/2022</w:t>
            </w:r>
          </w:p>
        </w:tc>
      </w:tr>
      <w:tr w:rsidR="00DD24A3" w:rsidRPr="006F2305" w:rsidTr="00DD24A3">
        <w:tc>
          <w:tcPr>
            <w:tcW w:w="1697" w:type="dxa"/>
          </w:tcPr>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277</w:t>
            </w:r>
          </w:p>
        </w:tc>
        <w:tc>
          <w:tcPr>
            <w:tcW w:w="3260" w:type="dxa"/>
          </w:tcPr>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686</w:t>
            </w:r>
          </w:p>
        </w:tc>
        <w:tc>
          <w:tcPr>
            <w:tcW w:w="1843" w:type="dxa"/>
          </w:tcPr>
          <w:p w:rsidR="00DD24A3" w:rsidRPr="006F2305" w:rsidRDefault="00DD24A3" w:rsidP="00DD24A3">
            <w:pPr>
              <w:ind w:right="-50"/>
              <w:jc w:val="center"/>
              <w:outlineLvl w:val="0"/>
              <w:rPr>
                <w:rFonts w:ascii="Arial" w:eastAsia="Arial" w:hAnsi="Arial" w:cs="Arial"/>
                <w:b/>
                <w:bCs/>
                <w:sz w:val="18"/>
                <w:szCs w:val="18"/>
              </w:rPr>
            </w:pPr>
            <w:r w:rsidRPr="006F2305">
              <w:rPr>
                <w:rFonts w:ascii="Arial" w:eastAsia="Arial" w:hAnsi="Arial" w:cs="Arial"/>
                <w:b/>
                <w:bCs/>
                <w:sz w:val="18"/>
                <w:szCs w:val="18"/>
              </w:rPr>
              <w:t>402</w:t>
            </w:r>
          </w:p>
        </w:tc>
        <w:tc>
          <w:tcPr>
            <w:tcW w:w="1984" w:type="dxa"/>
          </w:tcPr>
          <w:p w:rsidR="00DD24A3" w:rsidRPr="006F2305" w:rsidRDefault="00DD24A3" w:rsidP="00DD24A3">
            <w:pPr>
              <w:ind w:right="-50"/>
              <w:jc w:val="center"/>
              <w:outlineLvl w:val="0"/>
              <w:rPr>
                <w:rFonts w:ascii="Arial" w:eastAsia="Arial" w:hAnsi="Arial" w:cs="Arial"/>
                <w:b/>
                <w:bCs/>
                <w:sz w:val="18"/>
                <w:szCs w:val="18"/>
                <w:u w:val="single"/>
              </w:rPr>
            </w:pPr>
            <w:r w:rsidRPr="006F2305">
              <w:rPr>
                <w:rFonts w:ascii="Arial" w:eastAsia="Arial" w:hAnsi="Arial" w:cs="Arial"/>
                <w:b/>
                <w:bCs/>
                <w:sz w:val="18"/>
                <w:szCs w:val="18"/>
                <w:u w:val="single"/>
              </w:rPr>
              <w:t>59%</w:t>
            </w:r>
          </w:p>
        </w:tc>
        <w:tc>
          <w:tcPr>
            <w:tcW w:w="1843" w:type="dxa"/>
          </w:tcPr>
          <w:p w:rsidR="00DD24A3" w:rsidRPr="006F2305" w:rsidRDefault="00DD24A3" w:rsidP="00DD24A3">
            <w:pPr>
              <w:ind w:right="-50"/>
              <w:jc w:val="center"/>
              <w:outlineLvl w:val="0"/>
              <w:rPr>
                <w:rFonts w:ascii="Arial" w:eastAsia="Arial" w:hAnsi="Arial" w:cs="Arial"/>
                <w:b/>
                <w:bCs/>
                <w:sz w:val="18"/>
                <w:szCs w:val="18"/>
                <w:u w:val="single"/>
              </w:rPr>
            </w:pPr>
            <w:r w:rsidRPr="006F2305">
              <w:rPr>
                <w:rFonts w:ascii="Arial" w:eastAsia="Arial" w:hAnsi="Arial" w:cs="Arial"/>
                <w:b/>
                <w:bCs/>
                <w:sz w:val="18"/>
                <w:szCs w:val="18"/>
                <w:u w:val="single"/>
              </w:rPr>
              <w:t>41%</w:t>
            </w:r>
          </w:p>
        </w:tc>
      </w:tr>
    </w:tbl>
    <w:p w:rsidR="00DD24A3" w:rsidRPr="006F2305" w:rsidRDefault="00DD24A3" w:rsidP="00DD24A3">
      <w:pPr>
        <w:widowControl/>
        <w:autoSpaceDE/>
        <w:autoSpaceDN/>
        <w:ind w:left="-142"/>
        <w:jc w:val="both"/>
        <w:rPr>
          <w:rFonts w:ascii="Arial" w:eastAsia="Times New Roman" w:hAnsi="Arial" w:cs="Arial"/>
          <w:b/>
          <w:sz w:val="28"/>
          <w:szCs w:val="28"/>
          <w:lang w:eastAsia="es-ES"/>
        </w:rPr>
      </w:pPr>
    </w:p>
    <w:p w:rsidR="00DD24A3" w:rsidRPr="006F2305" w:rsidRDefault="00DD24A3" w:rsidP="00DD24A3">
      <w:pPr>
        <w:spacing w:before="1"/>
        <w:ind w:left="-142" w:right="-518"/>
        <w:jc w:val="both"/>
        <w:rPr>
          <w:rFonts w:ascii="Arial" w:eastAsia="Arial" w:hAnsi="Arial" w:cs="Arial"/>
          <w:b/>
          <w:sz w:val="28"/>
          <w:szCs w:val="28"/>
        </w:rPr>
      </w:pPr>
      <w:r w:rsidRPr="006F2305">
        <w:rPr>
          <w:rFonts w:ascii="Arial" w:eastAsia="Arial" w:hAnsi="Arial" w:cs="Arial"/>
          <w:b/>
          <w:sz w:val="28"/>
          <w:szCs w:val="28"/>
        </w:rPr>
        <w:t>-RESULTADO DE LA EVALUACIÓN DEL JEFE DE CONTROL INTERNO DE LA EFICIENCIA Y EFICACIA DE LAS ACCIONES REALIZADAS PARA DARLE CUMPLIMIENTO A LOS PLANES DE MEJORAMIENTO PARA SOLUCIONAR LAS GLOSAS Y CUMPLIR ASÍ LAS METAS PACTADAS, así:</w:t>
      </w:r>
    </w:p>
    <w:p w:rsidR="00DD24A3" w:rsidRPr="006F2305" w:rsidRDefault="00DD24A3" w:rsidP="00DD24A3">
      <w:pPr>
        <w:tabs>
          <w:tab w:val="left" w:pos="2055"/>
        </w:tabs>
        <w:spacing w:before="5"/>
        <w:rPr>
          <w:rFonts w:ascii="Arial" w:eastAsia="Arial" w:hAnsi="Arial" w:cs="Arial"/>
          <w:sz w:val="17"/>
          <w:szCs w:val="24"/>
        </w:rPr>
      </w:pPr>
    </w:p>
    <w:p w:rsidR="00DD24A3" w:rsidRPr="006F2305" w:rsidRDefault="00DD24A3" w:rsidP="00DD24A3">
      <w:pPr>
        <w:widowControl/>
        <w:autoSpaceDE/>
        <w:autoSpaceDN/>
        <w:ind w:left="-142" w:right="-660"/>
        <w:jc w:val="both"/>
        <w:rPr>
          <w:rFonts w:ascii="Arial" w:eastAsia="Times New Roman" w:hAnsi="Arial" w:cs="Arial"/>
          <w:b/>
          <w:sz w:val="24"/>
          <w:szCs w:val="24"/>
          <w:lang w:eastAsia="es-ES"/>
        </w:rPr>
      </w:pPr>
      <w:r w:rsidRPr="006F2305">
        <w:rPr>
          <w:rFonts w:ascii="Arial" w:eastAsia="Times New Roman" w:hAnsi="Arial" w:cs="Arial"/>
          <w:b/>
          <w:sz w:val="24"/>
          <w:szCs w:val="24"/>
          <w:lang w:eastAsia="es-ES"/>
        </w:rPr>
        <w:t>CONCLUSIONES</w:t>
      </w:r>
      <w:r>
        <w:rPr>
          <w:rFonts w:ascii="Arial" w:eastAsia="Times New Roman" w:hAnsi="Arial" w:cs="Arial"/>
          <w:b/>
          <w:sz w:val="24"/>
          <w:szCs w:val="24"/>
          <w:lang w:eastAsia="es-ES"/>
        </w:rPr>
        <w:t>:</w:t>
      </w:r>
    </w:p>
    <w:p w:rsidR="00DD24A3" w:rsidRPr="006F2305" w:rsidRDefault="00DD24A3" w:rsidP="00DD24A3">
      <w:pPr>
        <w:widowControl/>
        <w:autoSpaceDE/>
        <w:autoSpaceDN/>
        <w:ind w:left="708" w:right="-660"/>
        <w:jc w:val="both"/>
        <w:rPr>
          <w:rFonts w:ascii="Arial" w:eastAsia="Times New Roman" w:hAnsi="Arial" w:cs="Arial"/>
          <w:b/>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b/>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Al corte 31 de diciembre de 2022, el plan de mejoramiento institucional suscrito con la CGR cuenta con 277 hallazgos y 686 actividades.</w:t>
      </w:r>
    </w:p>
    <w:p w:rsidR="00DD24A3" w:rsidRPr="006F2305" w:rsidRDefault="00DD24A3" w:rsidP="00DD24A3">
      <w:pPr>
        <w:widowControl/>
        <w:autoSpaceDE/>
        <w:autoSpaceDN/>
        <w:ind w:left="284" w:right="-660"/>
        <w:jc w:val="both"/>
        <w:rPr>
          <w:rFonts w:ascii="Arial" w:eastAsia="Times New Roman" w:hAnsi="Arial" w:cs="Arial"/>
          <w:b/>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b/>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Al corte de la evaluación al 31 de diciembre de 2022, se identificó que 402 metas cumplidas de 686 actividades del plan de mejoramiento consolidado son equivalentes a un cumplimiento del 59% se encuentran terminadas en un 100%, las 284 actividades restantes (41%) se encuentran en proceso de ejecución con fecha máxima de finalización al 31 de diciembre de la vigencia en curso.</w:t>
      </w:r>
    </w:p>
    <w:p w:rsidR="00DD24A3" w:rsidRPr="006F2305" w:rsidRDefault="00DD24A3" w:rsidP="00DD24A3">
      <w:pPr>
        <w:widowControl/>
        <w:autoSpaceDE/>
        <w:autoSpaceDN/>
        <w:ind w:left="284" w:right="-660"/>
        <w:jc w:val="both"/>
        <w:rPr>
          <w:rFonts w:ascii="Arial" w:eastAsia="Times New Roman" w:hAnsi="Arial" w:cs="Arial"/>
          <w:b/>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Al 31 de diciembre de 2022, 324 actividades se encontraban con fecha de terminación en el segundo semestre de 2022. </w:t>
      </w: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b/>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De 324 actividades que debían cumplirse al 100%, 86 actividades equivalente al 27% fueron cerradas por eficacia.</w:t>
      </w:r>
    </w:p>
    <w:p w:rsidR="00DD24A3" w:rsidRPr="006F2305" w:rsidRDefault="00DD24A3" w:rsidP="00DD24A3">
      <w:pPr>
        <w:widowControl/>
        <w:autoSpaceDE/>
        <w:autoSpaceDN/>
        <w:ind w:left="284" w:right="-660"/>
        <w:jc w:val="both"/>
        <w:rPr>
          <w:rFonts w:ascii="Arial" w:eastAsia="Times New Roman" w:hAnsi="Arial" w:cs="Arial"/>
          <w:b/>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De 324 actividades, 238 actividades equivalentes al 73%, los líderes de los procesos solicitaron modificación, ampliación de fecha de ejecución.</w:t>
      </w:r>
    </w:p>
    <w:p w:rsidR="00D10DED" w:rsidRDefault="00D10DED">
      <w:pPr>
        <w:widowControl/>
        <w:autoSpaceDE/>
        <w:autoSpaceDN/>
        <w:spacing w:after="160" w:line="259" w:lineRule="auto"/>
        <w:rPr>
          <w:rFonts w:ascii="Arial" w:eastAsia="Times New Roman" w:hAnsi="Arial" w:cs="Arial"/>
          <w:sz w:val="24"/>
          <w:szCs w:val="24"/>
          <w:lang w:eastAsia="es-ES"/>
        </w:rPr>
      </w:pPr>
      <w:r>
        <w:rPr>
          <w:rFonts w:ascii="Arial" w:eastAsia="Times New Roman" w:hAnsi="Arial" w:cs="Arial"/>
          <w:sz w:val="24"/>
          <w:szCs w:val="24"/>
          <w:lang w:eastAsia="es-ES"/>
        </w:rPr>
        <w:br w:type="page"/>
      </w: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Se sugiere a la Presidencia realizar análisis a profundidad de las acciones de mejoramiento solicitadas por las áreas responsables a fin de, presentar las aprobaciones por cambios de responsables, metas e indicadores que sean acordes a la realidad, para lo cual, se sugiere socializar con mesas de trabajo y las áreas implicadas, el análisis de la causa raíz del hallazgo y las soluciones presentadas. </w:t>
      </w: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A través de fomento de cultura de control entre la Gerencia de Talento Humano y la Oficina de Control Interno articular programas de capacitación en lo relacionado a la suscripción de planes de mejoramiento, donde se evalúen la causa raíz de los hallazgos de auditorías externas (CGR) e internas (OCI). </w:t>
      </w:r>
    </w:p>
    <w:p w:rsidR="00DD24A3" w:rsidRPr="006F2305" w:rsidRDefault="00DD24A3" w:rsidP="00DD24A3">
      <w:pPr>
        <w:widowControl/>
        <w:autoSpaceDE/>
        <w:autoSpaceDN/>
        <w:ind w:left="284" w:right="-660"/>
        <w:jc w:val="both"/>
        <w:rPr>
          <w:rFonts w:ascii="Arial" w:eastAsia="Times New Roman" w:hAnsi="Arial" w:cs="Arial"/>
          <w:sz w:val="24"/>
          <w:szCs w:val="24"/>
          <w:lang w:eastAsia="es-ES"/>
        </w:rPr>
      </w:pPr>
    </w:p>
    <w:p w:rsidR="00DD24A3" w:rsidRPr="006F2305" w:rsidRDefault="00DD24A3" w:rsidP="00DD24A3">
      <w:pPr>
        <w:widowControl/>
        <w:autoSpaceDE/>
        <w:autoSpaceDN/>
        <w:ind w:left="284" w:right="-660"/>
        <w:jc w:val="both"/>
        <w:rPr>
          <w:rFonts w:ascii="Arial" w:eastAsia="Times New Roman" w:hAnsi="Arial" w:cs="Arial"/>
          <w:b/>
          <w:sz w:val="24"/>
          <w:szCs w:val="24"/>
          <w:lang w:eastAsia="es-ES"/>
        </w:rPr>
      </w:pPr>
      <w:r w:rsidRPr="006F2305">
        <w:rPr>
          <w:rFonts w:ascii="Segoe UI Symbol" w:eastAsia="Times New Roman" w:hAnsi="Segoe UI Symbol" w:cs="Segoe UI Symbol"/>
          <w:sz w:val="24"/>
          <w:szCs w:val="24"/>
          <w:lang w:eastAsia="es-ES"/>
        </w:rPr>
        <w:t>✓</w:t>
      </w:r>
      <w:r w:rsidRPr="006F2305">
        <w:rPr>
          <w:rFonts w:ascii="Arial" w:eastAsia="Times New Roman" w:hAnsi="Arial" w:cs="Arial"/>
          <w:sz w:val="24"/>
          <w:szCs w:val="24"/>
          <w:lang w:eastAsia="es-ES"/>
        </w:rPr>
        <w:t xml:space="preserve"> Se sugiere que las áreas den lectura de los informes de la Contraloría y de la Oficina de Control Interno para el planteamiento de las actividades que subsanen la causa raíz de los hallazgos y evitar reprocesos en los replanteamientos de los planes de mejoramiento</w:t>
      </w:r>
    </w:p>
    <w:p w:rsidR="00DD24A3" w:rsidRPr="006F2305" w:rsidRDefault="00DD24A3" w:rsidP="00DD24A3">
      <w:pPr>
        <w:widowControl/>
        <w:autoSpaceDE/>
        <w:autoSpaceDN/>
        <w:ind w:left="-142" w:right="-660"/>
        <w:jc w:val="both"/>
        <w:rPr>
          <w:rFonts w:ascii="Arial" w:eastAsia="Times New Roman" w:hAnsi="Arial" w:cs="Arial"/>
          <w:b/>
          <w:sz w:val="24"/>
          <w:szCs w:val="24"/>
          <w:lang w:eastAsia="es-ES"/>
        </w:rPr>
      </w:pPr>
    </w:p>
    <w:p w:rsidR="00DD24A3" w:rsidRPr="006F2305" w:rsidRDefault="00DD24A3" w:rsidP="00DD24A3">
      <w:pPr>
        <w:widowControl/>
        <w:autoSpaceDE/>
        <w:autoSpaceDN/>
        <w:ind w:left="-142" w:right="-660"/>
        <w:jc w:val="both"/>
        <w:rPr>
          <w:rFonts w:ascii="Arial" w:eastAsia="Times New Roman" w:hAnsi="Arial" w:cs="Arial"/>
          <w:b/>
          <w:sz w:val="28"/>
          <w:szCs w:val="28"/>
          <w:lang w:eastAsia="es-ES"/>
        </w:rPr>
      </w:pPr>
      <w:r w:rsidRPr="006F2305">
        <w:rPr>
          <w:rFonts w:ascii="Arial" w:eastAsia="Times New Roman" w:hAnsi="Arial" w:cs="Arial"/>
          <w:b/>
          <w:sz w:val="28"/>
          <w:szCs w:val="28"/>
          <w:lang w:eastAsia="es-ES"/>
        </w:rPr>
        <w:t>D.- OTRAS OBSERVACIONES.</w:t>
      </w:r>
    </w:p>
    <w:p w:rsidR="00DD24A3" w:rsidRDefault="00DD24A3" w:rsidP="00DD24A3">
      <w:pPr>
        <w:widowControl/>
        <w:autoSpaceDE/>
        <w:autoSpaceDN/>
        <w:ind w:left="-142" w:right="-518"/>
        <w:jc w:val="both"/>
        <w:rPr>
          <w:rFonts w:ascii="Arial" w:eastAsia="Times New Roman" w:hAnsi="Arial" w:cs="Arial"/>
          <w:sz w:val="24"/>
          <w:szCs w:val="24"/>
          <w:lang w:eastAsia="es-ES"/>
        </w:rPr>
      </w:pPr>
    </w:p>
    <w:p w:rsidR="00DD24A3" w:rsidRPr="006F2305" w:rsidRDefault="00DD24A3" w:rsidP="00DD24A3">
      <w:pPr>
        <w:widowControl/>
        <w:autoSpaceDE/>
        <w:autoSpaceDN/>
        <w:ind w:left="-142" w:right="-518"/>
        <w:jc w:val="both"/>
        <w:rPr>
          <w:rFonts w:ascii="Arial" w:eastAsia="Times New Roman" w:hAnsi="Arial" w:cs="Arial"/>
          <w:sz w:val="24"/>
          <w:szCs w:val="24"/>
          <w:lang w:eastAsia="es-ES"/>
        </w:rPr>
      </w:pPr>
      <w:r w:rsidRPr="006F2305">
        <w:rPr>
          <w:rFonts w:ascii="Arial" w:eastAsia="Times New Roman" w:hAnsi="Arial" w:cs="Arial"/>
          <w:sz w:val="24"/>
          <w:szCs w:val="24"/>
          <w:lang w:eastAsia="es-ES"/>
        </w:rPr>
        <w:t xml:space="preserve">-La entidad no remite la información de manera impresa de acuerdo al requerimiento de la Comisión Legal de </w:t>
      </w:r>
      <w:r>
        <w:rPr>
          <w:rFonts w:ascii="Arial" w:eastAsia="Times New Roman" w:hAnsi="Arial" w:cs="Arial"/>
          <w:sz w:val="24"/>
          <w:szCs w:val="24"/>
          <w:lang w:eastAsia="es-ES"/>
        </w:rPr>
        <w:t>C</w:t>
      </w:r>
      <w:r w:rsidRPr="006F2305">
        <w:rPr>
          <w:rFonts w:ascii="Arial" w:eastAsia="Times New Roman" w:hAnsi="Arial" w:cs="Arial"/>
          <w:sz w:val="24"/>
          <w:szCs w:val="24"/>
          <w:lang w:eastAsia="es-ES"/>
        </w:rPr>
        <w:t>uentas.</w:t>
      </w:r>
    </w:p>
    <w:sectPr w:rsidR="00DD24A3" w:rsidRPr="006F2305" w:rsidSect="00191B41">
      <w:headerReference w:type="default" r:id="rId37"/>
      <w:footerReference w:type="default" r:id="rId38"/>
      <w:pgSz w:w="12240" w:h="15840"/>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62831" w:rsidRDefault="00C62831" w:rsidP="007529B6">
      <w:r>
        <w:separator/>
      </w:r>
    </w:p>
  </w:endnote>
  <w:endnote w:type="continuationSeparator" w:id="0">
    <w:p w:rsidR="00C62831" w:rsidRDefault="00C62831" w:rsidP="007529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4A3" w:rsidRDefault="00DD24A3" w:rsidP="00C37547">
    <w:pPr>
      <w:ind w:left="-284" w:right="-234"/>
      <w:jc w:val="both"/>
      <w:rPr>
        <w:rFonts w:ascii="Arial" w:hAnsi="Arial" w:cs="Arial"/>
      </w:rPr>
    </w:pPr>
  </w:p>
  <w:p w:rsidR="00DD24A3" w:rsidRPr="00091DF4" w:rsidRDefault="00DD24A3" w:rsidP="00C37547">
    <w:pPr>
      <w:pStyle w:val="Piedepgina"/>
      <w:pBdr>
        <w:bottom w:val="single" w:sz="12" w:space="1" w:color="auto"/>
      </w:pBdr>
      <w:jc w:val="center"/>
      <w:rPr>
        <w:b/>
        <w:sz w:val="20"/>
        <w:szCs w:val="20"/>
      </w:rPr>
    </w:pPr>
    <w:r w:rsidRPr="00091DF4">
      <w:rPr>
        <w:b/>
        <w:sz w:val="20"/>
        <w:szCs w:val="20"/>
      </w:rPr>
      <w:t>AQUÍ VIVE LA DEMOCRACIA</w:t>
    </w:r>
  </w:p>
  <w:p w:rsidR="00DD24A3" w:rsidRPr="00091DF4" w:rsidRDefault="00DD24A3" w:rsidP="00C37547">
    <w:pPr>
      <w:pStyle w:val="Piedepgina"/>
      <w:jc w:val="center"/>
      <w:rPr>
        <w:i/>
        <w:sz w:val="18"/>
        <w:szCs w:val="18"/>
      </w:rPr>
    </w:pPr>
    <w:r w:rsidRPr="00091DF4">
      <w:rPr>
        <w:i/>
        <w:sz w:val="18"/>
        <w:szCs w:val="18"/>
      </w:rPr>
      <w:t xml:space="preserve">Edificio Nuevo del Congreso- </w:t>
    </w:r>
    <w:r>
      <w:rPr>
        <w:i/>
        <w:sz w:val="18"/>
        <w:szCs w:val="18"/>
      </w:rPr>
      <w:t>Carrera 7 No. 8 – 68 P</w:t>
    </w:r>
    <w:r w:rsidRPr="00091DF4">
      <w:rPr>
        <w:i/>
        <w:sz w:val="18"/>
        <w:szCs w:val="18"/>
      </w:rPr>
      <w:t>iso</w:t>
    </w:r>
    <w:r>
      <w:rPr>
        <w:i/>
        <w:sz w:val="18"/>
        <w:szCs w:val="18"/>
      </w:rPr>
      <w:t xml:space="preserve"> 5º </w:t>
    </w:r>
  </w:p>
  <w:p w:rsidR="00DD24A3" w:rsidRPr="00091DF4" w:rsidRDefault="00DD24A3" w:rsidP="00C37547">
    <w:pPr>
      <w:pStyle w:val="Piedepgina"/>
      <w:jc w:val="center"/>
      <w:rPr>
        <w:sz w:val="18"/>
        <w:szCs w:val="18"/>
        <w:lang w:val="en-US"/>
      </w:rPr>
    </w:pPr>
    <w:r w:rsidRPr="00091DF4">
      <w:rPr>
        <w:sz w:val="18"/>
        <w:szCs w:val="18"/>
        <w:lang w:val="en-US"/>
      </w:rPr>
      <w:t xml:space="preserve">Conmutador:(57) (601) </w:t>
    </w:r>
    <w:proofErr w:type="gramStart"/>
    <w:r w:rsidRPr="00091DF4">
      <w:rPr>
        <w:sz w:val="18"/>
        <w:szCs w:val="18"/>
        <w:lang w:val="en-US"/>
      </w:rPr>
      <w:t>8770720  Extensiones</w:t>
    </w:r>
    <w:proofErr w:type="gramEnd"/>
    <w:r w:rsidRPr="00091DF4">
      <w:rPr>
        <w:sz w:val="18"/>
        <w:szCs w:val="18"/>
        <w:lang w:val="en-US"/>
      </w:rPr>
      <w:t xml:space="preserve"> 40</w:t>
    </w:r>
    <w:r w:rsidR="00191B41">
      <w:rPr>
        <w:sz w:val="18"/>
        <w:szCs w:val="18"/>
        <w:lang w:val="en-US"/>
      </w:rPr>
      <w:t>36</w:t>
    </w:r>
    <w:r w:rsidRPr="00091DF4">
      <w:rPr>
        <w:sz w:val="18"/>
        <w:szCs w:val="18"/>
        <w:lang w:val="en-US"/>
      </w:rPr>
      <w:t xml:space="preserve">- </w:t>
    </w:r>
    <w:r w:rsidR="00191B41">
      <w:rPr>
        <w:sz w:val="18"/>
        <w:szCs w:val="18"/>
        <w:lang w:val="en-US"/>
      </w:rPr>
      <w:t>5302</w:t>
    </w:r>
  </w:p>
  <w:p w:rsidR="00DD24A3" w:rsidRDefault="00DD24A3" w:rsidP="00C37547">
    <w:pPr>
      <w:pStyle w:val="Sinespaciado"/>
      <w:jc w:val="center"/>
    </w:pPr>
    <w:r w:rsidRPr="00091DF4">
      <w:rPr>
        <w:i/>
        <w:sz w:val="18"/>
        <w:szCs w:val="18"/>
        <w:lang w:val="en-US"/>
      </w:rPr>
      <w:t>Email: comision.legal@camara.gov.co</w:t>
    </w:r>
  </w:p>
  <w:p w:rsidR="00DD24A3" w:rsidRDefault="00DD24A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53135041"/>
      <w:docPartObj>
        <w:docPartGallery w:val="Page Numbers (Bottom of Page)"/>
        <w:docPartUnique/>
      </w:docPartObj>
    </w:sdtPr>
    <w:sdtEndPr>
      <w:rPr>
        <w:b/>
        <w:i/>
      </w:rPr>
    </w:sdtEndPr>
    <w:sdtContent>
      <w:p w:rsidR="00DD24A3" w:rsidRPr="0010614C" w:rsidRDefault="00DD24A3">
        <w:pPr>
          <w:pStyle w:val="Piedepgina"/>
          <w:jc w:val="right"/>
          <w:rPr>
            <w:b/>
            <w:i/>
          </w:rPr>
        </w:pPr>
        <w:r w:rsidRPr="0010614C">
          <w:rPr>
            <w:b/>
            <w:i/>
          </w:rPr>
          <w:t xml:space="preserve">Página </w:t>
        </w:r>
        <w:r w:rsidRPr="0010614C">
          <w:rPr>
            <w:b/>
            <w:i/>
          </w:rPr>
          <w:fldChar w:fldCharType="begin"/>
        </w:r>
        <w:r w:rsidRPr="0010614C">
          <w:rPr>
            <w:b/>
            <w:i/>
          </w:rPr>
          <w:instrText>PAGE   \* MERGEFORMAT</w:instrText>
        </w:r>
        <w:r w:rsidRPr="0010614C">
          <w:rPr>
            <w:b/>
            <w:i/>
          </w:rPr>
          <w:fldChar w:fldCharType="separate"/>
        </w:r>
        <w:r w:rsidRPr="0010614C">
          <w:rPr>
            <w:b/>
            <w:i/>
          </w:rPr>
          <w:t>2</w:t>
        </w:r>
        <w:r w:rsidRPr="0010614C">
          <w:rPr>
            <w:b/>
            <w:i/>
          </w:rPr>
          <w:fldChar w:fldCharType="end"/>
        </w:r>
      </w:p>
    </w:sdtContent>
  </w:sdt>
  <w:p w:rsidR="00DD24A3" w:rsidRDefault="00DD24A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62831" w:rsidRDefault="00C62831" w:rsidP="007529B6">
      <w:r>
        <w:separator/>
      </w:r>
    </w:p>
  </w:footnote>
  <w:footnote w:type="continuationSeparator" w:id="0">
    <w:p w:rsidR="00C62831" w:rsidRDefault="00C62831" w:rsidP="007529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4A3" w:rsidRDefault="00DD24A3" w:rsidP="006726D5">
    <w:pPr>
      <w:pStyle w:val="Encabezado"/>
    </w:pPr>
  </w:p>
  <w:tbl>
    <w:tblPr>
      <w:tblW w:w="5263" w:type="pct"/>
      <w:tblInd w:w="-28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3581"/>
      <w:gridCol w:w="4064"/>
      <w:gridCol w:w="1053"/>
      <w:gridCol w:w="1792"/>
    </w:tblGrid>
    <w:tr w:rsidR="00DD24A3" w:rsidTr="00DD24A3">
      <w:trPr>
        <w:cantSplit/>
        <w:trHeight w:val="275"/>
      </w:trPr>
      <w:tc>
        <w:tcPr>
          <w:tcW w:w="1707" w:type="pct"/>
          <w:vMerge w:val="restar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254" w:lineRule="auto"/>
            <w:jc w:val="center"/>
            <w:rPr>
              <w:rFonts w:ascii="Arial" w:hAnsi="Arial"/>
              <w:b/>
              <w:sz w:val="16"/>
              <w:szCs w:val="16"/>
            </w:rPr>
          </w:pPr>
          <w:r>
            <w:rPr>
              <w:noProof/>
              <w:lang w:val="es-CO" w:eastAsia="es-CO"/>
            </w:rPr>
            <w:drawing>
              <wp:anchor distT="0" distB="0" distL="114300" distR="114300" simplePos="0" relativeHeight="251661312" behindDoc="0" locked="0" layoutInCell="1" allowOverlap="1" wp14:anchorId="557FD030" wp14:editId="2362B760">
                <wp:simplePos x="0" y="0"/>
                <wp:positionH relativeFrom="column">
                  <wp:posOffset>5080</wp:posOffset>
                </wp:positionH>
                <wp:positionV relativeFrom="paragraph">
                  <wp:posOffset>37465</wp:posOffset>
                </wp:positionV>
                <wp:extent cx="1609725" cy="579120"/>
                <wp:effectExtent l="0" t="0" r="9525"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57912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b/>
              <w:sz w:val="16"/>
              <w:szCs w:val="16"/>
            </w:rPr>
            <w:t xml:space="preserve"> </w:t>
          </w:r>
        </w:p>
      </w:tc>
      <w:tc>
        <w:tcPr>
          <w:tcW w:w="1937" w:type="pct"/>
          <w:tcBorders>
            <w:top w:val="single" w:sz="2" w:space="0" w:color="auto"/>
            <w:left w:val="single" w:sz="2" w:space="0" w:color="auto"/>
            <w:bottom w:val="single" w:sz="2" w:space="0" w:color="auto"/>
            <w:right w:val="nil"/>
          </w:tcBorders>
          <w:vAlign w:val="center"/>
          <w:hideMark/>
        </w:tcPr>
        <w:p w:rsidR="00DD24A3" w:rsidRDefault="00DD24A3" w:rsidP="006726D5">
          <w:pPr>
            <w:pStyle w:val="Encabezado"/>
            <w:spacing w:line="254" w:lineRule="auto"/>
            <w:jc w:val="center"/>
            <w:rPr>
              <w:rFonts w:cs="Arial"/>
              <w:b/>
              <w:sz w:val="20"/>
              <w:szCs w:val="20"/>
            </w:rPr>
          </w:pPr>
          <w:r>
            <w:rPr>
              <w:rFonts w:cs="Arial"/>
              <w:b/>
              <w:sz w:val="20"/>
              <w:szCs w:val="20"/>
            </w:rPr>
            <w:t>Comisión Legal de Cuentas</w:t>
          </w:r>
        </w:p>
      </w:tc>
      <w:tc>
        <w:tcPr>
          <w:tcW w:w="1356" w:type="pct"/>
          <w:gridSpan w:val="2"/>
          <w:tcBorders>
            <w:top w:val="single" w:sz="2" w:space="0" w:color="auto"/>
            <w:left w:val="nil"/>
            <w:bottom w:val="single" w:sz="2" w:space="0" w:color="auto"/>
            <w:right w:val="single" w:sz="2" w:space="0" w:color="auto"/>
          </w:tcBorders>
          <w:vAlign w:val="center"/>
        </w:tcPr>
        <w:p w:rsidR="00DD24A3" w:rsidRDefault="00DD24A3" w:rsidP="006726D5">
          <w:pPr>
            <w:pStyle w:val="Encabezado"/>
            <w:spacing w:line="254" w:lineRule="auto"/>
            <w:ind w:right="-107"/>
            <w:jc w:val="center"/>
            <w:rPr>
              <w:b/>
              <w:sz w:val="20"/>
              <w:szCs w:val="20"/>
            </w:rPr>
          </w:pPr>
        </w:p>
      </w:tc>
    </w:tr>
    <w:tr w:rsidR="00DD24A3" w:rsidTr="00DD24A3">
      <w:trPr>
        <w:cantSplit/>
        <w:trHeight w:val="137"/>
      </w:trPr>
      <w:tc>
        <w:tcPr>
          <w:tcW w:w="1707" w:type="pct"/>
          <w:vMerge/>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spacing w:line="256" w:lineRule="auto"/>
            <w:rPr>
              <w:rFonts w:ascii="Arial" w:hAnsi="Arial"/>
              <w:b/>
              <w:sz w:val="16"/>
              <w:szCs w:val="16"/>
            </w:rPr>
          </w:pPr>
        </w:p>
      </w:tc>
      <w:tc>
        <w:tcPr>
          <w:tcW w:w="1937" w:type="pct"/>
          <w:vMerge w:val="restar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254" w:lineRule="auto"/>
            <w:jc w:val="center"/>
            <w:rPr>
              <w:rFonts w:cs="Arial"/>
              <w:b/>
              <w:sz w:val="20"/>
              <w:szCs w:val="20"/>
            </w:rPr>
          </w:pPr>
          <w:r>
            <w:rPr>
              <w:rFonts w:cs="Arial"/>
              <w:b/>
              <w:sz w:val="20"/>
              <w:szCs w:val="20"/>
            </w:rPr>
            <w:t>Periodo Constitucional 2022-2026</w:t>
          </w:r>
        </w:p>
        <w:p w:rsidR="00DD24A3" w:rsidRDefault="00DD24A3" w:rsidP="006726D5">
          <w:pPr>
            <w:pStyle w:val="Encabezado"/>
            <w:spacing w:line="254" w:lineRule="auto"/>
            <w:jc w:val="center"/>
            <w:rPr>
              <w:rFonts w:cs="Arial"/>
              <w:b/>
            </w:rPr>
          </w:pPr>
          <w:r>
            <w:rPr>
              <w:rFonts w:cs="Arial"/>
              <w:b/>
              <w:sz w:val="20"/>
              <w:szCs w:val="20"/>
            </w:rPr>
            <w:t>Legislatura 2023-2024 Periodo: I</w:t>
          </w:r>
        </w:p>
      </w:tc>
      <w:tc>
        <w:tcPr>
          <w:tcW w:w="502" w:type="pc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360" w:lineRule="auto"/>
            <w:jc w:val="center"/>
            <w:rPr>
              <w:rFonts w:cs="Arial"/>
              <w:sz w:val="14"/>
              <w:szCs w:val="14"/>
            </w:rPr>
          </w:pPr>
          <w:r>
            <w:rPr>
              <w:rFonts w:cs="Arial"/>
              <w:sz w:val="14"/>
              <w:szCs w:val="14"/>
            </w:rPr>
            <w:t>CÓDIGO</w:t>
          </w:r>
        </w:p>
      </w:tc>
      <w:tc>
        <w:tcPr>
          <w:tcW w:w="854" w:type="pc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360" w:lineRule="auto"/>
            <w:ind w:right="-94" w:hanging="108"/>
            <w:jc w:val="center"/>
            <w:rPr>
              <w:rFonts w:cs="Arial"/>
              <w:sz w:val="20"/>
              <w:szCs w:val="20"/>
            </w:rPr>
          </w:pPr>
          <w:r>
            <w:rPr>
              <w:rFonts w:cs="Arial"/>
              <w:sz w:val="20"/>
              <w:szCs w:val="20"/>
            </w:rPr>
            <w:t>CLC  3.9</w:t>
          </w:r>
        </w:p>
      </w:tc>
    </w:tr>
    <w:tr w:rsidR="00DD24A3" w:rsidTr="00DD24A3">
      <w:trPr>
        <w:cantSplit/>
        <w:trHeight w:val="63"/>
      </w:trPr>
      <w:tc>
        <w:tcPr>
          <w:tcW w:w="1707" w:type="pct"/>
          <w:vMerge/>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spacing w:line="256" w:lineRule="auto"/>
            <w:rPr>
              <w:rFonts w:ascii="Arial" w:hAnsi="Arial"/>
              <w:b/>
              <w:sz w:val="16"/>
              <w:szCs w:val="16"/>
            </w:rPr>
          </w:pPr>
        </w:p>
      </w:tc>
      <w:tc>
        <w:tcPr>
          <w:tcW w:w="0" w:type="auto"/>
          <w:vMerge/>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spacing w:line="256" w:lineRule="auto"/>
            <w:rPr>
              <w:rFonts w:cs="Arial"/>
              <w:b/>
            </w:rPr>
          </w:pPr>
        </w:p>
      </w:tc>
      <w:tc>
        <w:tcPr>
          <w:tcW w:w="502" w:type="pc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360" w:lineRule="auto"/>
            <w:jc w:val="center"/>
            <w:rPr>
              <w:rFonts w:cs="Arial"/>
              <w:sz w:val="14"/>
              <w:szCs w:val="14"/>
            </w:rPr>
          </w:pPr>
          <w:r>
            <w:rPr>
              <w:rFonts w:cs="Arial"/>
              <w:sz w:val="14"/>
              <w:szCs w:val="14"/>
            </w:rPr>
            <w:t>VERSIÓN</w:t>
          </w:r>
        </w:p>
      </w:tc>
      <w:tc>
        <w:tcPr>
          <w:tcW w:w="854" w:type="pc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360" w:lineRule="auto"/>
            <w:jc w:val="center"/>
            <w:rPr>
              <w:rFonts w:cs="Arial"/>
              <w:sz w:val="14"/>
              <w:szCs w:val="14"/>
            </w:rPr>
          </w:pPr>
          <w:r>
            <w:rPr>
              <w:rFonts w:cs="Arial"/>
              <w:sz w:val="14"/>
              <w:szCs w:val="14"/>
            </w:rPr>
            <w:t>01-2016</w:t>
          </w:r>
        </w:p>
      </w:tc>
    </w:tr>
    <w:tr w:rsidR="00DD24A3" w:rsidTr="00DD24A3">
      <w:trPr>
        <w:cantSplit/>
        <w:trHeight w:val="322"/>
      </w:trPr>
      <w:tc>
        <w:tcPr>
          <w:tcW w:w="1707" w:type="pct"/>
          <w:vMerge/>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spacing w:line="256" w:lineRule="auto"/>
            <w:rPr>
              <w:rFonts w:ascii="Arial" w:hAnsi="Arial"/>
              <w:b/>
              <w:sz w:val="16"/>
              <w:szCs w:val="16"/>
            </w:rPr>
          </w:pPr>
        </w:p>
      </w:tc>
      <w:tc>
        <w:tcPr>
          <w:tcW w:w="0" w:type="auto"/>
          <w:vMerge/>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spacing w:line="256" w:lineRule="auto"/>
            <w:rPr>
              <w:rFonts w:cs="Arial"/>
              <w:b/>
            </w:rPr>
          </w:pPr>
        </w:p>
      </w:tc>
      <w:tc>
        <w:tcPr>
          <w:tcW w:w="502" w:type="pc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360" w:lineRule="auto"/>
            <w:jc w:val="center"/>
            <w:rPr>
              <w:rFonts w:cs="Arial"/>
              <w:sz w:val="14"/>
              <w:szCs w:val="14"/>
            </w:rPr>
          </w:pPr>
          <w:r>
            <w:rPr>
              <w:rFonts w:cs="Arial"/>
              <w:sz w:val="14"/>
              <w:szCs w:val="14"/>
            </w:rPr>
            <w:t>PÁGINA</w:t>
          </w:r>
        </w:p>
      </w:tc>
      <w:tc>
        <w:tcPr>
          <w:tcW w:w="854" w:type="pct"/>
          <w:tcBorders>
            <w:top w:val="single" w:sz="2" w:space="0" w:color="auto"/>
            <w:left w:val="single" w:sz="2" w:space="0" w:color="auto"/>
            <w:bottom w:val="single" w:sz="2" w:space="0" w:color="auto"/>
            <w:right w:val="single" w:sz="2" w:space="0" w:color="auto"/>
          </w:tcBorders>
          <w:vAlign w:val="center"/>
          <w:hideMark/>
        </w:tcPr>
        <w:p w:rsidR="00DD24A3" w:rsidRDefault="00DD24A3" w:rsidP="006726D5">
          <w:pPr>
            <w:pStyle w:val="Encabezado"/>
            <w:spacing w:line="360" w:lineRule="auto"/>
            <w:jc w:val="center"/>
            <w:rPr>
              <w:rFonts w:cs="Arial"/>
              <w:sz w:val="14"/>
              <w:szCs w:val="14"/>
            </w:rPr>
          </w:pPr>
          <w:r w:rsidRPr="00775832">
            <w:rPr>
              <w:rFonts w:cs="Arial"/>
              <w:sz w:val="14"/>
              <w:szCs w:val="14"/>
            </w:rPr>
            <w:fldChar w:fldCharType="begin"/>
          </w:r>
          <w:r w:rsidRPr="00775832">
            <w:rPr>
              <w:rFonts w:cs="Arial"/>
              <w:sz w:val="14"/>
              <w:szCs w:val="14"/>
            </w:rPr>
            <w:instrText>PAGE   \* MERGEFORMAT</w:instrText>
          </w:r>
          <w:r w:rsidRPr="00775832">
            <w:rPr>
              <w:rFonts w:cs="Arial"/>
              <w:sz w:val="14"/>
              <w:szCs w:val="14"/>
            </w:rPr>
            <w:fldChar w:fldCharType="separate"/>
          </w:r>
          <w:r>
            <w:rPr>
              <w:rFonts w:cs="Arial"/>
              <w:sz w:val="14"/>
              <w:szCs w:val="14"/>
            </w:rPr>
            <w:t>1</w:t>
          </w:r>
          <w:r w:rsidRPr="00775832">
            <w:rPr>
              <w:rFonts w:cs="Arial"/>
              <w:sz w:val="14"/>
              <w:szCs w:val="14"/>
            </w:rPr>
            <w:fldChar w:fldCharType="end"/>
          </w:r>
        </w:p>
      </w:tc>
    </w:tr>
  </w:tbl>
  <w:p w:rsidR="00DD24A3" w:rsidRPr="00C87DC2" w:rsidRDefault="00DD24A3" w:rsidP="00C87DC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4A3" w:rsidRPr="00C87DC2" w:rsidRDefault="00DD24A3" w:rsidP="00C87DC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C00224"/>
    <w:multiLevelType w:val="hybridMultilevel"/>
    <w:tmpl w:val="2C284D9E"/>
    <w:lvl w:ilvl="0" w:tplc="85020A80">
      <w:start w:val="3"/>
      <w:numFmt w:val="lowerLetter"/>
      <w:lvlText w:val="%1)"/>
      <w:lvlJc w:val="left"/>
      <w:pPr>
        <w:ind w:left="218" w:hanging="360"/>
      </w:pPr>
      <w:rPr>
        <w:rFonts w:hint="default"/>
      </w:rPr>
    </w:lvl>
    <w:lvl w:ilvl="1" w:tplc="240A0019" w:tentative="1">
      <w:start w:val="1"/>
      <w:numFmt w:val="lowerLetter"/>
      <w:lvlText w:val="%2."/>
      <w:lvlJc w:val="left"/>
      <w:pPr>
        <w:ind w:left="938" w:hanging="360"/>
      </w:pPr>
    </w:lvl>
    <w:lvl w:ilvl="2" w:tplc="240A001B" w:tentative="1">
      <w:start w:val="1"/>
      <w:numFmt w:val="lowerRoman"/>
      <w:lvlText w:val="%3."/>
      <w:lvlJc w:val="right"/>
      <w:pPr>
        <w:ind w:left="1658" w:hanging="180"/>
      </w:pPr>
    </w:lvl>
    <w:lvl w:ilvl="3" w:tplc="240A000F" w:tentative="1">
      <w:start w:val="1"/>
      <w:numFmt w:val="decimal"/>
      <w:lvlText w:val="%4."/>
      <w:lvlJc w:val="left"/>
      <w:pPr>
        <w:ind w:left="2378" w:hanging="360"/>
      </w:pPr>
    </w:lvl>
    <w:lvl w:ilvl="4" w:tplc="240A0019" w:tentative="1">
      <w:start w:val="1"/>
      <w:numFmt w:val="lowerLetter"/>
      <w:lvlText w:val="%5."/>
      <w:lvlJc w:val="left"/>
      <w:pPr>
        <w:ind w:left="3098" w:hanging="360"/>
      </w:pPr>
    </w:lvl>
    <w:lvl w:ilvl="5" w:tplc="240A001B" w:tentative="1">
      <w:start w:val="1"/>
      <w:numFmt w:val="lowerRoman"/>
      <w:lvlText w:val="%6."/>
      <w:lvlJc w:val="right"/>
      <w:pPr>
        <w:ind w:left="3818" w:hanging="180"/>
      </w:pPr>
    </w:lvl>
    <w:lvl w:ilvl="6" w:tplc="240A000F" w:tentative="1">
      <w:start w:val="1"/>
      <w:numFmt w:val="decimal"/>
      <w:lvlText w:val="%7."/>
      <w:lvlJc w:val="left"/>
      <w:pPr>
        <w:ind w:left="4538" w:hanging="360"/>
      </w:pPr>
    </w:lvl>
    <w:lvl w:ilvl="7" w:tplc="240A0019" w:tentative="1">
      <w:start w:val="1"/>
      <w:numFmt w:val="lowerLetter"/>
      <w:lvlText w:val="%8."/>
      <w:lvlJc w:val="left"/>
      <w:pPr>
        <w:ind w:left="5258" w:hanging="360"/>
      </w:pPr>
    </w:lvl>
    <w:lvl w:ilvl="8" w:tplc="240A001B" w:tentative="1">
      <w:start w:val="1"/>
      <w:numFmt w:val="lowerRoman"/>
      <w:lvlText w:val="%9."/>
      <w:lvlJc w:val="right"/>
      <w:pPr>
        <w:ind w:left="5978" w:hanging="180"/>
      </w:pPr>
    </w:lvl>
  </w:abstractNum>
  <w:abstractNum w:abstractNumId="1" w15:restartNumberingAfterBreak="0">
    <w:nsid w:val="1E8B79A4"/>
    <w:multiLevelType w:val="hybridMultilevel"/>
    <w:tmpl w:val="1D00DFE2"/>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1F2D4364"/>
    <w:multiLevelType w:val="hybridMultilevel"/>
    <w:tmpl w:val="0638ED82"/>
    <w:lvl w:ilvl="0" w:tplc="ADA65A48">
      <w:start w:val="1"/>
      <w:numFmt w:val="lowerRoman"/>
      <w:lvlText w:val="(%1)"/>
      <w:lvlJc w:val="left"/>
      <w:pPr>
        <w:ind w:left="578" w:hanging="720"/>
      </w:pPr>
      <w:rPr>
        <w:rFonts w:hint="default"/>
      </w:rPr>
    </w:lvl>
    <w:lvl w:ilvl="1" w:tplc="240A0019" w:tentative="1">
      <w:start w:val="1"/>
      <w:numFmt w:val="lowerLetter"/>
      <w:lvlText w:val="%2."/>
      <w:lvlJc w:val="left"/>
      <w:pPr>
        <w:ind w:left="938" w:hanging="360"/>
      </w:pPr>
    </w:lvl>
    <w:lvl w:ilvl="2" w:tplc="240A001B" w:tentative="1">
      <w:start w:val="1"/>
      <w:numFmt w:val="lowerRoman"/>
      <w:lvlText w:val="%3."/>
      <w:lvlJc w:val="right"/>
      <w:pPr>
        <w:ind w:left="1658" w:hanging="180"/>
      </w:pPr>
    </w:lvl>
    <w:lvl w:ilvl="3" w:tplc="240A000F" w:tentative="1">
      <w:start w:val="1"/>
      <w:numFmt w:val="decimal"/>
      <w:lvlText w:val="%4."/>
      <w:lvlJc w:val="left"/>
      <w:pPr>
        <w:ind w:left="2378" w:hanging="360"/>
      </w:pPr>
    </w:lvl>
    <w:lvl w:ilvl="4" w:tplc="240A0019" w:tentative="1">
      <w:start w:val="1"/>
      <w:numFmt w:val="lowerLetter"/>
      <w:lvlText w:val="%5."/>
      <w:lvlJc w:val="left"/>
      <w:pPr>
        <w:ind w:left="3098" w:hanging="360"/>
      </w:pPr>
    </w:lvl>
    <w:lvl w:ilvl="5" w:tplc="240A001B" w:tentative="1">
      <w:start w:val="1"/>
      <w:numFmt w:val="lowerRoman"/>
      <w:lvlText w:val="%6."/>
      <w:lvlJc w:val="right"/>
      <w:pPr>
        <w:ind w:left="3818" w:hanging="180"/>
      </w:pPr>
    </w:lvl>
    <w:lvl w:ilvl="6" w:tplc="240A000F" w:tentative="1">
      <w:start w:val="1"/>
      <w:numFmt w:val="decimal"/>
      <w:lvlText w:val="%7."/>
      <w:lvlJc w:val="left"/>
      <w:pPr>
        <w:ind w:left="4538" w:hanging="360"/>
      </w:pPr>
    </w:lvl>
    <w:lvl w:ilvl="7" w:tplc="240A0019" w:tentative="1">
      <w:start w:val="1"/>
      <w:numFmt w:val="lowerLetter"/>
      <w:lvlText w:val="%8."/>
      <w:lvlJc w:val="left"/>
      <w:pPr>
        <w:ind w:left="5258" w:hanging="360"/>
      </w:pPr>
    </w:lvl>
    <w:lvl w:ilvl="8" w:tplc="240A001B" w:tentative="1">
      <w:start w:val="1"/>
      <w:numFmt w:val="lowerRoman"/>
      <w:lvlText w:val="%9."/>
      <w:lvlJc w:val="right"/>
      <w:pPr>
        <w:ind w:left="5978" w:hanging="180"/>
      </w:pPr>
    </w:lvl>
  </w:abstractNum>
  <w:abstractNum w:abstractNumId="3" w15:restartNumberingAfterBreak="0">
    <w:nsid w:val="2C04544E"/>
    <w:multiLevelType w:val="hybridMultilevel"/>
    <w:tmpl w:val="148231D6"/>
    <w:lvl w:ilvl="0" w:tplc="240A0019">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 w15:restartNumberingAfterBreak="0">
    <w:nsid w:val="4B233F3A"/>
    <w:multiLevelType w:val="hybridMultilevel"/>
    <w:tmpl w:val="E2F45B66"/>
    <w:lvl w:ilvl="0" w:tplc="B5225B46">
      <w:start w:val="1"/>
      <w:numFmt w:val="lowerLetter"/>
      <w:lvlText w:val="%1)"/>
      <w:lvlJc w:val="left"/>
      <w:pPr>
        <w:ind w:left="218" w:hanging="360"/>
      </w:pPr>
      <w:rPr>
        <w:rFonts w:hint="default"/>
      </w:rPr>
    </w:lvl>
    <w:lvl w:ilvl="1" w:tplc="240A0019" w:tentative="1">
      <w:start w:val="1"/>
      <w:numFmt w:val="lowerLetter"/>
      <w:lvlText w:val="%2."/>
      <w:lvlJc w:val="left"/>
      <w:pPr>
        <w:ind w:left="938" w:hanging="360"/>
      </w:pPr>
    </w:lvl>
    <w:lvl w:ilvl="2" w:tplc="240A001B" w:tentative="1">
      <w:start w:val="1"/>
      <w:numFmt w:val="lowerRoman"/>
      <w:lvlText w:val="%3."/>
      <w:lvlJc w:val="right"/>
      <w:pPr>
        <w:ind w:left="1658" w:hanging="180"/>
      </w:pPr>
    </w:lvl>
    <w:lvl w:ilvl="3" w:tplc="240A000F" w:tentative="1">
      <w:start w:val="1"/>
      <w:numFmt w:val="decimal"/>
      <w:lvlText w:val="%4."/>
      <w:lvlJc w:val="left"/>
      <w:pPr>
        <w:ind w:left="2378" w:hanging="360"/>
      </w:pPr>
    </w:lvl>
    <w:lvl w:ilvl="4" w:tplc="240A0019" w:tentative="1">
      <w:start w:val="1"/>
      <w:numFmt w:val="lowerLetter"/>
      <w:lvlText w:val="%5."/>
      <w:lvlJc w:val="left"/>
      <w:pPr>
        <w:ind w:left="3098" w:hanging="360"/>
      </w:pPr>
    </w:lvl>
    <w:lvl w:ilvl="5" w:tplc="240A001B" w:tentative="1">
      <w:start w:val="1"/>
      <w:numFmt w:val="lowerRoman"/>
      <w:lvlText w:val="%6."/>
      <w:lvlJc w:val="right"/>
      <w:pPr>
        <w:ind w:left="3818" w:hanging="180"/>
      </w:pPr>
    </w:lvl>
    <w:lvl w:ilvl="6" w:tplc="240A000F" w:tentative="1">
      <w:start w:val="1"/>
      <w:numFmt w:val="decimal"/>
      <w:lvlText w:val="%7."/>
      <w:lvlJc w:val="left"/>
      <w:pPr>
        <w:ind w:left="4538" w:hanging="360"/>
      </w:pPr>
    </w:lvl>
    <w:lvl w:ilvl="7" w:tplc="240A0019" w:tentative="1">
      <w:start w:val="1"/>
      <w:numFmt w:val="lowerLetter"/>
      <w:lvlText w:val="%8."/>
      <w:lvlJc w:val="left"/>
      <w:pPr>
        <w:ind w:left="5258" w:hanging="360"/>
      </w:pPr>
    </w:lvl>
    <w:lvl w:ilvl="8" w:tplc="240A001B" w:tentative="1">
      <w:start w:val="1"/>
      <w:numFmt w:val="lowerRoman"/>
      <w:lvlText w:val="%9."/>
      <w:lvlJc w:val="right"/>
      <w:pPr>
        <w:ind w:left="5978" w:hanging="180"/>
      </w:pPr>
    </w:lvl>
  </w:abstractNum>
  <w:abstractNum w:abstractNumId="5" w15:restartNumberingAfterBreak="0">
    <w:nsid w:val="6A283E3E"/>
    <w:multiLevelType w:val="hybridMultilevel"/>
    <w:tmpl w:val="36223CF6"/>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num w:numId="1">
    <w:abstractNumId w:val="1"/>
  </w:num>
  <w:num w:numId="2">
    <w:abstractNumId w:val="3"/>
  </w:num>
  <w:num w:numId="3">
    <w:abstractNumId w:val="5"/>
  </w:num>
  <w:num w:numId="4">
    <w:abstractNumId w:val="4"/>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61F7"/>
    <w:rsid w:val="00002CEC"/>
    <w:rsid w:val="000853E8"/>
    <w:rsid w:val="000967C1"/>
    <w:rsid w:val="000B65C8"/>
    <w:rsid w:val="000C73E0"/>
    <w:rsid w:val="000E38B8"/>
    <w:rsid w:val="000F1062"/>
    <w:rsid w:val="000F5E6E"/>
    <w:rsid w:val="0010614C"/>
    <w:rsid w:val="00191B41"/>
    <w:rsid w:val="001953FB"/>
    <w:rsid w:val="001A524F"/>
    <w:rsid w:val="001D424D"/>
    <w:rsid w:val="00204C42"/>
    <w:rsid w:val="0025743C"/>
    <w:rsid w:val="00331484"/>
    <w:rsid w:val="003859FB"/>
    <w:rsid w:val="003E283C"/>
    <w:rsid w:val="00463BF2"/>
    <w:rsid w:val="004738E1"/>
    <w:rsid w:val="00485D3E"/>
    <w:rsid w:val="004B6831"/>
    <w:rsid w:val="004C1406"/>
    <w:rsid w:val="00510018"/>
    <w:rsid w:val="00550D10"/>
    <w:rsid w:val="0055328F"/>
    <w:rsid w:val="005707E4"/>
    <w:rsid w:val="005E4BCC"/>
    <w:rsid w:val="005F442A"/>
    <w:rsid w:val="00617F20"/>
    <w:rsid w:val="006726D5"/>
    <w:rsid w:val="00682406"/>
    <w:rsid w:val="00694304"/>
    <w:rsid w:val="006A3984"/>
    <w:rsid w:val="0071485A"/>
    <w:rsid w:val="00724AC8"/>
    <w:rsid w:val="007529B6"/>
    <w:rsid w:val="007603E8"/>
    <w:rsid w:val="007701B9"/>
    <w:rsid w:val="007757B4"/>
    <w:rsid w:val="00783465"/>
    <w:rsid w:val="00790875"/>
    <w:rsid w:val="007A1F1B"/>
    <w:rsid w:val="007B46EF"/>
    <w:rsid w:val="007C043D"/>
    <w:rsid w:val="007C09C3"/>
    <w:rsid w:val="007F217E"/>
    <w:rsid w:val="008961F7"/>
    <w:rsid w:val="008A7029"/>
    <w:rsid w:val="008B1EAC"/>
    <w:rsid w:val="00915653"/>
    <w:rsid w:val="00942686"/>
    <w:rsid w:val="00967D65"/>
    <w:rsid w:val="00997E49"/>
    <w:rsid w:val="009C7BFD"/>
    <w:rsid w:val="009D5044"/>
    <w:rsid w:val="009E5588"/>
    <w:rsid w:val="00A41B13"/>
    <w:rsid w:val="00B279A8"/>
    <w:rsid w:val="00B67877"/>
    <w:rsid w:val="00B9321F"/>
    <w:rsid w:val="00BA0485"/>
    <w:rsid w:val="00BC51B2"/>
    <w:rsid w:val="00BD17CE"/>
    <w:rsid w:val="00C11C14"/>
    <w:rsid w:val="00C22212"/>
    <w:rsid w:val="00C37547"/>
    <w:rsid w:val="00C62831"/>
    <w:rsid w:val="00C87DC2"/>
    <w:rsid w:val="00D10DED"/>
    <w:rsid w:val="00D33716"/>
    <w:rsid w:val="00D34029"/>
    <w:rsid w:val="00DD24A3"/>
    <w:rsid w:val="00E07624"/>
    <w:rsid w:val="00E91375"/>
    <w:rsid w:val="00E9280C"/>
    <w:rsid w:val="00EE31B6"/>
    <w:rsid w:val="00F072E2"/>
    <w:rsid w:val="00F15A5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DA5A2"/>
  <w15:chartTrackingRefBased/>
  <w15:docId w15:val="{48AC6A5C-7FED-4695-8F9E-9A4CCCCE9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0E38B8"/>
    <w:pPr>
      <w:widowControl w:val="0"/>
      <w:autoSpaceDE w:val="0"/>
      <w:autoSpaceDN w:val="0"/>
      <w:spacing w:after="0" w:line="240" w:lineRule="auto"/>
    </w:pPr>
    <w:rPr>
      <w:rFonts w:ascii="Arial MT" w:eastAsia="Arial MT" w:hAnsi="Arial MT" w:cs="Arial MT"/>
      <w:lang w:val="es-ES"/>
    </w:rPr>
  </w:style>
  <w:style w:type="paragraph" w:styleId="Ttulo1">
    <w:name w:val="heading 1"/>
    <w:basedOn w:val="Normal"/>
    <w:link w:val="Ttulo1Car"/>
    <w:uiPriority w:val="1"/>
    <w:qFormat/>
    <w:rsid w:val="000E38B8"/>
    <w:pPr>
      <w:ind w:left="1420"/>
      <w:jc w:val="both"/>
      <w:outlineLvl w:val="0"/>
    </w:pPr>
    <w:rPr>
      <w:rFonts w:ascii="Arial" w:eastAsia="Arial" w:hAnsi="Arial" w:cs="Arial"/>
      <w:b/>
      <w:b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1"/>
    <w:rsid w:val="000E38B8"/>
    <w:rPr>
      <w:rFonts w:ascii="Arial" w:eastAsia="Arial" w:hAnsi="Arial" w:cs="Arial"/>
      <w:b/>
      <w:bCs/>
      <w:sz w:val="28"/>
      <w:szCs w:val="28"/>
      <w:lang w:val="es-ES"/>
    </w:rPr>
  </w:style>
  <w:style w:type="paragraph" w:styleId="Textoindependiente">
    <w:name w:val="Body Text"/>
    <w:basedOn w:val="Normal"/>
    <w:link w:val="TextoindependienteCar"/>
    <w:uiPriority w:val="1"/>
    <w:qFormat/>
    <w:rsid w:val="000E38B8"/>
    <w:rPr>
      <w:sz w:val="24"/>
      <w:szCs w:val="24"/>
    </w:rPr>
  </w:style>
  <w:style w:type="character" w:customStyle="1" w:styleId="TextoindependienteCar">
    <w:name w:val="Texto independiente Car"/>
    <w:basedOn w:val="Fuentedeprrafopredeter"/>
    <w:link w:val="Textoindependiente"/>
    <w:uiPriority w:val="1"/>
    <w:rsid w:val="000E38B8"/>
    <w:rPr>
      <w:rFonts w:ascii="Arial MT" w:eastAsia="Arial MT" w:hAnsi="Arial MT" w:cs="Arial MT"/>
      <w:sz w:val="24"/>
      <w:szCs w:val="24"/>
      <w:lang w:val="es-ES"/>
    </w:rPr>
  </w:style>
  <w:style w:type="paragraph" w:customStyle="1" w:styleId="Standard">
    <w:name w:val="Standard"/>
    <w:rsid w:val="000E38B8"/>
    <w:pPr>
      <w:suppressAutoHyphens/>
      <w:autoSpaceDN w:val="0"/>
      <w:spacing w:after="0" w:line="240" w:lineRule="auto"/>
      <w:textAlignment w:val="baseline"/>
    </w:pPr>
    <w:rPr>
      <w:rFonts w:ascii="Times New Roman" w:eastAsia="Times New Roman" w:hAnsi="Times New Roman" w:cs="Times New Roman"/>
      <w:sz w:val="24"/>
      <w:szCs w:val="24"/>
      <w:lang w:val="es-ES" w:eastAsia="es-ES"/>
    </w:rPr>
  </w:style>
  <w:style w:type="table" w:styleId="Tablaconcuadrcula">
    <w:name w:val="Table Grid"/>
    <w:basedOn w:val="Tablanormal"/>
    <w:uiPriority w:val="39"/>
    <w:rsid w:val="007C09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aliases w:val="ho,header odd,encabezado"/>
    <w:basedOn w:val="Normal"/>
    <w:link w:val="EncabezadoCar"/>
    <w:uiPriority w:val="99"/>
    <w:unhideWhenUsed/>
    <w:rsid w:val="007529B6"/>
    <w:pPr>
      <w:tabs>
        <w:tab w:val="center" w:pos="4419"/>
        <w:tab w:val="right" w:pos="8838"/>
      </w:tabs>
    </w:pPr>
  </w:style>
  <w:style w:type="character" w:customStyle="1" w:styleId="EncabezadoCar">
    <w:name w:val="Encabezado Car"/>
    <w:aliases w:val="ho Car,header odd Car,encabezado Car"/>
    <w:basedOn w:val="Fuentedeprrafopredeter"/>
    <w:link w:val="Encabezado"/>
    <w:uiPriority w:val="99"/>
    <w:rsid w:val="007529B6"/>
    <w:rPr>
      <w:rFonts w:ascii="Arial MT" w:eastAsia="Arial MT" w:hAnsi="Arial MT" w:cs="Arial MT"/>
      <w:lang w:val="es-ES"/>
    </w:rPr>
  </w:style>
  <w:style w:type="paragraph" w:styleId="Piedepgina">
    <w:name w:val="footer"/>
    <w:basedOn w:val="Normal"/>
    <w:link w:val="PiedepginaCar"/>
    <w:uiPriority w:val="99"/>
    <w:unhideWhenUsed/>
    <w:rsid w:val="007529B6"/>
    <w:pPr>
      <w:tabs>
        <w:tab w:val="center" w:pos="4419"/>
        <w:tab w:val="right" w:pos="8838"/>
      </w:tabs>
    </w:pPr>
  </w:style>
  <w:style w:type="character" w:customStyle="1" w:styleId="PiedepginaCar">
    <w:name w:val="Pie de página Car"/>
    <w:basedOn w:val="Fuentedeprrafopredeter"/>
    <w:link w:val="Piedepgina"/>
    <w:uiPriority w:val="99"/>
    <w:rsid w:val="007529B6"/>
    <w:rPr>
      <w:rFonts w:ascii="Arial MT" w:eastAsia="Arial MT" w:hAnsi="Arial MT" w:cs="Arial MT"/>
      <w:lang w:val="es-ES"/>
    </w:rPr>
  </w:style>
  <w:style w:type="table" w:customStyle="1" w:styleId="Tablaconcuadrcula68">
    <w:name w:val="Tabla con cuadrícula68"/>
    <w:basedOn w:val="Tablanormal"/>
    <w:next w:val="Tablaconcuadrcula"/>
    <w:uiPriority w:val="39"/>
    <w:rsid w:val="007834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Bullet List,FooterText,numbered,Paragraphe de liste1,Bulletr List Paragraph,Foot,列出段落,列出段落1,List Paragraph21,Parágrafo da Lista1,リスト段落1,Listeafsnit1,List Paragraph1,List Paragraph2,Párrafo de lista1,HOJA,Viñeta 2,Guión,Párrafo de lista3"/>
    <w:basedOn w:val="Normal"/>
    <w:link w:val="PrrafodelistaCar"/>
    <w:uiPriority w:val="1"/>
    <w:qFormat/>
    <w:rsid w:val="007757B4"/>
    <w:pPr>
      <w:spacing w:before="1"/>
      <w:ind w:left="874" w:hanging="360"/>
      <w:jc w:val="both"/>
    </w:pPr>
    <w:rPr>
      <w:rFonts w:ascii="Arial" w:eastAsia="Arial" w:hAnsi="Arial" w:cs="Arial"/>
    </w:rPr>
  </w:style>
  <w:style w:type="character" w:customStyle="1" w:styleId="PrrafodelistaCar">
    <w:name w:val="Párrafo de lista Car"/>
    <w:aliases w:val="Bullet List Car,FooterText Car,numbered Car,Paragraphe de liste1 Car,Bulletr List Paragraph Car,Foot Car,列出段落 Car,列出段落1 Car,List Paragraph21 Car,Parágrafo da Lista1 Car,リスト段落1 Car,Listeafsnit1 Car,List Paragraph1 Car,HOJA Car"/>
    <w:link w:val="Prrafodelista"/>
    <w:uiPriority w:val="34"/>
    <w:qFormat/>
    <w:rsid w:val="007757B4"/>
    <w:rPr>
      <w:rFonts w:ascii="Arial" w:eastAsia="Arial" w:hAnsi="Arial" w:cs="Arial"/>
      <w:lang w:val="es-ES"/>
    </w:rPr>
  </w:style>
  <w:style w:type="character" w:styleId="Hipervnculo">
    <w:name w:val="Hyperlink"/>
    <w:basedOn w:val="Fuentedeprrafopredeter"/>
    <w:uiPriority w:val="99"/>
    <w:unhideWhenUsed/>
    <w:rsid w:val="007757B4"/>
    <w:rPr>
      <w:color w:val="0563C1" w:themeColor="hyperlink"/>
      <w:u w:val="single"/>
    </w:rPr>
  </w:style>
  <w:style w:type="paragraph" w:styleId="Sinespaciado">
    <w:name w:val="No Spacing"/>
    <w:link w:val="SinespaciadoCar"/>
    <w:uiPriority w:val="1"/>
    <w:qFormat/>
    <w:rsid w:val="006726D5"/>
    <w:pPr>
      <w:spacing w:after="0" w:line="240" w:lineRule="auto"/>
    </w:pPr>
  </w:style>
  <w:style w:type="character" w:customStyle="1" w:styleId="SinespaciadoCar">
    <w:name w:val="Sin espaciado Car"/>
    <w:basedOn w:val="Fuentedeprrafopredeter"/>
    <w:link w:val="Sinespaciado"/>
    <w:uiPriority w:val="1"/>
    <w:rsid w:val="006726D5"/>
  </w:style>
  <w:style w:type="paragraph" w:styleId="Lista">
    <w:name w:val="List"/>
    <w:basedOn w:val="Normal"/>
    <w:rsid w:val="00DD24A3"/>
    <w:pPr>
      <w:widowControl/>
      <w:autoSpaceDE/>
      <w:autoSpaceDN/>
      <w:ind w:left="283" w:hanging="283"/>
      <w:contextualSpacing/>
    </w:pPr>
    <w:rPr>
      <w:rFonts w:ascii="Times New Roman" w:eastAsia="Times New Roman" w:hAnsi="Times New Roman" w:cs="Times New Roman"/>
      <w:sz w:val="24"/>
      <w:szCs w:val="24"/>
      <w:lang w:eastAsia="es-ES"/>
    </w:rPr>
  </w:style>
  <w:style w:type="table" w:customStyle="1" w:styleId="Tablaconcuadrcula67">
    <w:name w:val="Tabla con cuadrícula67"/>
    <w:basedOn w:val="Tablanormal"/>
    <w:next w:val="Tablaconcuadrcula"/>
    <w:uiPriority w:val="39"/>
    <w:rsid w:val="00DD24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fontTable" Target="fontTable.xml"/><Relationship Id="rId21" Type="http://schemas.openxmlformats.org/officeDocument/2006/relationships/image" Target="media/image13.png"/><Relationship Id="rId34" Type="http://schemas.openxmlformats.org/officeDocument/2006/relationships/image" Target="media/image26.png"/><Relationship Id="rId7" Type="http://schemas.openxmlformats.org/officeDocument/2006/relationships/hyperlink" Target="mailto:fabian.trujillo@camara.gov.co" TargetMode="Externa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header" Target="header2.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footer" Target="footer1.xml"/><Relationship Id="rId19" Type="http://schemas.openxmlformats.org/officeDocument/2006/relationships/image" Target="media/image11.png"/><Relationship Id="rId31" Type="http://schemas.openxmlformats.org/officeDocument/2006/relationships/image" Target="media/image23.png"/><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8" Type="http://schemas.openxmlformats.org/officeDocument/2006/relationships/image" Target="media/image1.png"/><Relationship Id="rId3"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32</Pages>
  <Words>11912</Words>
  <Characters>65522</Characters>
  <Application>Microsoft Office Word</Application>
  <DocSecurity>0</DocSecurity>
  <Lines>546</Lines>
  <Paragraphs>154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fabian trujillo</dc:creator>
  <cp:keywords/>
  <dc:description/>
  <cp:lastModifiedBy>USER</cp:lastModifiedBy>
  <cp:revision>17</cp:revision>
  <dcterms:created xsi:type="dcterms:W3CDTF">2023-08-31T17:59:00Z</dcterms:created>
  <dcterms:modified xsi:type="dcterms:W3CDTF">2023-09-07T15:54:00Z</dcterms:modified>
</cp:coreProperties>
</file>